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7.xml" ContentType="application/vnd.openxmlformats-officedocument.drawingml.chart+xml"/>
  <Override PartName="/word/charts/chart6.xml" ContentType="application/vnd.openxmlformats-officedocument.drawingml.chart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3.xml" ContentType="application/vnd.openxmlformats-officedocument.drawingml.chart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62" w:rsidRDefault="00A332E8" w:rsidP="005315FB">
      <w:pPr>
        <w:spacing w:line="240" w:lineRule="auto"/>
        <w:ind w:left="-712"/>
        <w:jc w:val="both"/>
        <w:rPr>
          <w:rFonts w:ascii="Andalus" w:hAnsi="Andalus" w:cs="Andalus"/>
          <w:b/>
          <w:bCs/>
          <w:i/>
          <w:iCs/>
          <w:sz w:val="44"/>
          <w:szCs w:val="44"/>
          <w:rtl/>
        </w:rPr>
      </w:pPr>
      <w:bookmarkStart w:id="0" w:name="_GoBack"/>
      <w:bookmarkEnd w:id="0"/>
      <w:r w:rsidRPr="00A332E8">
        <w:rPr>
          <w:rFonts w:ascii="Andalus" w:hAnsi="Andalus" w:cs="Andalus"/>
          <w:b/>
          <w:bCs/>
          <w:i/>
          <w:iCs/>
          <w:sz w:val="44"/>
          <w:szCs w:val="44"/>
          <w:rtl/>
        </w:rPr>
        <w:t>تقرير تنفيذ الموازنة</w:t>
      </w:r>
      <w:r w:rsidR="00815E53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 xml:space="preserve">                                                        </w:t>
      </w:r>
      <w:r w:rsidR="00815E53">
        <w:rPr>
          <w:rFonts w:ascii="Andalus" w:hAnsi="Andalus" w:cs="Andalus" w:hint="cs"/>
          <w:b/>
          <w:bCs/>
          <w:i/>
          <w:iCs/>
          <w:sz w:val="72"/>
          <w:szCs w:val="72"/>
          <w:rtl/>
        </w:rPr>
        <w:t xml:space="preserve">        </w:t>
      </w:r>
      <w:r w:rsidR="00815E53" w:rsidRPr="00B444BB">
        <w:rPr>
          <w:rFonts w:ascii="Andalus" w:hAnsi="Andalus" w:cs="Andalus" w:hint="cs"/>
          <w:b/>
          <w:bCs/>
          <w:i/>
          <w:iCs/>
          <w:sz w:val="72"/>
          <w:szCs w:val="72"/>
          <w:rtl/>
        </w:rPr>
        <w:t xml:space="preserve"> </w:t>
      </w:r>
      <w:r w:rsidR="00815E53" w:rsidRPr="00B444BB">
        <w:rPr>
          <w:rFonts w:ascii="Andalus" w:hAnsi="Andalus" w:cs="Andalus" w:hint="cs"/>
          <w:b/>
          <w:bCs/>
          <w:i/>
          <w:iCs/>
          <w:sz w:val="24"/>
          <w:szCs w:val="24"/>
          <w:rtl/>
        </w:rPr>
        <w:t>(المبالغ بالمليون)</w:t>
      </w:r>
    </w:p>
    <w:p w:rsidR="00A332E8" w:rsidRPr="00B444BB" w:rsidRDefault="00960962" w:rsidP="00815E53">
      <w:pPr>
        <w:spacing w:line="240" w:lineRule="auto"/>
        <w:ind w:left="-712"/>
        <w:jc w:val="both"/>
        <w:rPr>
          <w:rFonts w:ascii="Andalus" w:hAnsi="Andalus" w:cs="Andalus"/>
          <w:b/>
          <w:bCs/>
          <w:i/>
          <w:iCs/>
          <w:sz w:val="16"/>
          <w:szCs w:val="16"/>
          <w:rtl/>
        </w:rPr>
      </w:pPr>
      <w:r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>ا</w:t>
      </w:r>
      <w:r w:rsidR="005315FB" w:rsidRPr="00A332E8">
        <w:rPr>
          <w:rFonts w:ascii="Andalus" w:hAnsi="Andalus" w:cs="Andalus"/>
          <w:b/>
          <w:bCs/>
          <w:i/>
          <w:iCs/>
          <w:sz w:val="44"/>
          <w:szCs w:val="44"/>
          <w:rtl/>
        </w:rPr>
        <w:t>لموازنة الجارية</w:t>
      </w:r>
      <w:r w:rsidR="00534B02">
        <w:rPr>
          <w:rFonts w:ascii="Andalus" w:hAnsi="Andalus" w:cs="Andalus"/>
          <w:b/>
          <w:bCs/>
          <w:i/>
          <w:iCs/>
          <w:sz w:val="44"/>
          <w:szCs w:val="44"/>
          <w:rtl/>
        </w:rPr>
        <w:t xml:space="preserve"> لغاية </w:t>
      </w:r>
      <w:r w:rsidR="00534B02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>شباط</w:t>
      </w:r>
      <w:r w:rsidR="00A332E8" w:rsidRPr="00A332E8">
        <w:rPr>
          <w:rFonts w:ascii="Andalus" w:hAnsi="Andalus" w:cs="Andalus"/>
          <w:b/>
          <w:bCs/>
          <w:i/>
          <w:iCs/>
          <w:sz w:val="44"/>
          <w:szCs w:val="44"/>
          <w:rtl/>
        </w:rPr>
        <w:t xml:space="preserve"> </w:t>
      </w:r>
      <w:r w:rsidR="005315FB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>لسنة 2015</w:t>
      </w:r>
      <w:r w:rsidR="00B444BB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 xml:space="preserve">                              </w:t>
      </w:r>
    </w:p>
    <w:tbl>
      <w:tblPr>
        <w:bidiVisual/>
        <w:tblW w:w="7937" w:type="dxa"/>
        <w:tblInd w:w="77" w:type="dxa"/>
        <w:tblLook w:val="04A0" w:firstRow="1" w:lastRow="0" w:firstColumn="1" w:lastColumn="0" w:noHBand="0" w:noVBand="1"/>
      </w:tblPr>
      <w:tblGrid>
        <w:gridCol w:w="16"/>
        <w:gridCol w:w="4910"/>
        <w:gridCol w:w="2996"/>
        <w:gridCol w:w="15"/>
      </w:tblGrid>
      <w:tr w:rsidR="00534B02" w:rsidRPr="00534B02" w:rsidTr="002572ED">
        <w:trPr>
          <w:gridBefore w:val="1"/>
          <w:wBefore w:w="16" w:type="dxa"/>
          <w:trHeight w:val="20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34B02" w:rsidRPr="00534B02" w:rsidRDefault="00534B02" w:rsidP="00534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ملخص الانفاق العام </w:t>
            </w:r>
          </w:p>
        </w:tc>
      </w:tr>
      <w:tr w:rsidR="00534B02" w:rsidRPr="00534B02" w:rsidTr="002572ED">
        <w:trPr>
          <w:gridAfter w:val="1"/>
          <w:wAfter w:w="15" w:type="dxa"/>
          <w:trHeight w:val="20"/>
        </w:trPr>
        <w:tc>
          <w:tcPr>
            <w:tcW w:w="4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34B02" w:rsidRPr="00534B02" w:rsidRDefault="00534B02" w:rsidP="00534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التفاصيل 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34B02" w:rsidRPr="00B85777" w:rsidRDefault="00B85777" w:rsidP="00B85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val="en-IN"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IN" w:bidi="ar-IQ"/>
              </w:rPr>
              <w:t>المبلغ</w:t>
            </w:r>
          </w:p>
        </w:tc>
      </w:tr>
      <w:tr w:rsidR="00534B02" w:rsidRPr="00534B02" w:rsidTr="002572ED">
        <w:trPr>
          <w:gridAfter w:val="1"/>
          <w:wAfter w:w="15" w:type="dxa"/>
          <w:trHeight w:val="20"/>
        </w:trPr>
        <w:tc>
          <w:tcPr>
            <w:tcW w:w="4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34B02" w:rsidRPr="00534B02" w:rsidRDefault="00534B02" w:rsidP="000C2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الاعتمادات المصدقة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34B02" w:rsidRPr="00534B02" w:rsidRDefault="00534B02" w:rsidP="000C2F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78,248,392</w:t>
            </w:r>
          </w:p>
        </w:tc>
      </w:tr>
      <w:tr w:rsidR="00534B02" w:rsidRPr="00534B02" w:rsidTr="002572ED">
        <w:trPr>
          <w:gridAfter w:val="1"/>
          <w:wAfter w:w="15" w:type="dxa"/>
          <w:trHeight w:val="20"/>
        </w:trPr>
        <w:tc>
          <w:tcPr>
            <w:tcW w:w="4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4B02" w:rsidRPr="00534B02" w:rsidRDefault="00534B02" w:rsidP="000C2F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الانفاق الاجمالي (المصرف الفعلي مضافأ اليه السلف)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34B02" w:rsidRPr="00534B02" w:rsidRDefault="00534B02" w:rsidP="000C2FC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5,801,541</w:t>
            </w:r>
          </w:p>
        </w:tc>
      </w:tr>
    </w:tbl>
    <w:p w:rsidR="00F60C81" w:rsidRPr="002572ED" w:rsidRDefault="00F60C81" w:rsidP="00F12553">
      <w:pPr>
        <w:ind w:left="-694"/>
        <w:rPr>
          <w:rtl/>
          <w:lang w:bidi="ar-IQ"/>
        </w:rPr>
      </w:pPr>
    </w:p>
    <w:p w:rsidR="00F12553" w:rsidRDefault="00534B02" w:rsidP="00F60C81">
      <w:pPr>
        <w:ind w:left="-98"/>
        <w:rPr>
          <w:rtl/>
        </w:rPr>
      </w:pPr>
      <w:r>
        <w:rPr>
          <w:noProof/>
        </w:rPr>
        <w:drawing>
          <wp:inline distT="0" distB="0" distL="0" distR="0" wp14:anchorId="756C70A7" wp14:editId="17D2B13A">
            <wp:extent cx="7914011" cy="2921225"/>
            <wp:effectExtent l="0" t="0" r="10795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bidiVisual/>
        <w:tblW w:w="7880" w:type="dxa"/>
        <w:tblInd w:w="93" w:type="dxa"/>
        <w:tblLook w:val="04A0" w:firstRow="1" w:lastRow="0" w:firstColumn="1" w:lastColumn="0" w:noHBand="0" w:noVBand="1"/>
      </w:tblPr>
      <w:tblGrid>
        <w:gridCol w:w="4470"/>
        <w:gridCol w:w="3410"/>
      </w:tblGrid>
      <w:tr w:rsidR="00534B02" w:rsidRPr="00534B02" w:rsidTr="002572ED">
        <w:trPr>
          <w:trHeight w:val="20"/>
        </w:trPr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B02" w:rsidRPr="00534B02" w:rsidRDefault="00534B02" w:rsidP="00534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lastRenderedPageBreak/>
              <w:t>الملخص التنفيذي للأيرادات والمصروفات على مستوى الموازنة الجارية</w:t>
            </w:r>
          </w:p>
        </w:tc>
      </w:tr>
      <w:tr w:rsidR="00534B02" w:rsidRPr="00534B02" w:rsidTr="002572ED">
        <w:trPr>
          <w:trHeight w:val="20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B02" w:rsidRPr="00534B02" w:rsidRDefault="00534B02" w:rsidP="00534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التفاصيل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B02" w:rsidRPr="00534B02" w:rsidRDefault="00221730" w:rsidP="00534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المبالغ</w:t>
            </w:r>
          </w:p>
        </w:tc>
      </w:tr>
      <w:tr w:rsidR="00534B02" w:rsidRPr="00534B02" w:rsidTr="002572ED">
        <w:trPr>
          <w:trHeight w:val="20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4B02" w:rsidRPr="00534B02" w:rsidRDefault="00534B02" w:rsidP="00534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الأيرادات 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10,134,835 </w:t>
            </w:r>
          </w:p>
        </w:tc>
      </w:tr>
      <w:tr w:rsidR="00534B02" w:rsidRPr="00534B02" w:rsidTr="002572ED">
        <w:trPr>
          <w:trHeight w:val="20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4B02" w:rsidRPr="00534B02" w:rsidRDefault="00534B02" w:rsidP="00534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المصروفات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5,491,948 </w:t>
            </w:r>
          </w:p>
        </w:tc>
      </w:tr>
      <w:tr w:rsidR="00534B02" w:rsidRPr="00534B02" w:rsidTr="002572ED">
        <w:trPr>
          <w:trHeight w:val="20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4B02" w:rsidRPr="00534B02" w:rsidRDefault="00534B02" w:rsidP="00534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السلف 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  309,593 </w:t>
            </w:r>
          </w:p>
        </w:tc>
      </w:tr>
      <w:tr w:rsidR="00534B02" w:rsidRPr="00534B02" w:rsidTr="002572ED">
        <w:trPr>
          <w:trHeight w:val="20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4B02" w:rsidRPr="00534B02" w:rsidRDefault="00534B02" w:rsidP="00534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الأنفاق الأجمالي( المصرف الفعلي مضافآ اليه السلف )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5,801,541 </w:t>
            </w:r>
          </w:p>
        </w:tc>
      </w:tr>
    </w:tbl>
    <w:p w:rsidR="00A332E8" w:rsidRDefault="00A332E8">
      <w:pPr>
        <w:rPr>
          <w:rtl/>
        </w:rPr>
      </w:pPr>
    </w:p>
    <w:p w:rsidR="00221730" w:rsidRDefault="00221730"/>
    <w:p w:rsidR="00F12553" w:rsidRDefault="00534B02">
      <w:pPr>
        <w:rPr>
          <w:rtl/>
        </w:rPr>
      </w:pPr>
      <w:r>
        <w:rPr>
          <w:noProof/>
        </w:rPr>
        <w:drawing>
          <wp:inline distT="0" distB="0" distL="0" distR="0" wp14:anchorId="58AD152B" wp14:editId="34461950">
            <wp:extent cx="7359162" cy="3490546"/>
            <wp:effectExtent l="0" t="0" r="13335" b="1524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bidiVisual/>
        <w:tblW w:w="10361" w:type="dxa"/>
        <w:tblInd w:w="93" w:type="dxa"/>
        <w:tblLook w:val="04A0" w:firstRow="1" w:lastRow="0" w:firstColumn="1" w:lastColumn="0" w:noHBand="0" w:noVBand="1"/>
      </w:tblPr>
      <w:tblGrid>
        <w:gridCol w:w="4999"/>
        <w:gridCol w:w="2714"/>
        <w:gridCol w:w="2648"/>
      </w:tblGrid>
      <w:tr w:rsidR="00534B02" w:rsidRPr="00534B02" w:rsidTr="002572ED">
        <w:trPr>
          <w:trHeight w:val="20"/>
        </w:trPr>
        <w:tc>
          <w:tcPr>
            <w:tcW w:w="10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34B02" w:rsidRPr="00534B02" w:rsidRDefault="00534B02" w:rsidP="00221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lastRenderedPageBreak/>
              <w:t xml:space="preserve">ملخص الأيرادات حسب </w:t>
            </w:r>
            <w:r w:rsidR="00221730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أ</w:t>
            </w:r>
            <w:r w:rsidRPr="00534B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نواعها</w:t>
            </w:r>
          </w:p>
        </w:tc>
      </w:tr>
      <w:tr w:rsidR="00534B02" w:rsidRPr="00534B02" w:rsidTr="002572ED">
        <w:trPr>
          <w:trHeight w:val="20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34B02" w:rsidRPr="00534B02" w:rsidRDefault="00534B02" w:rsidP="00534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الأعـــــــــــــــداد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4B02" w:rsidRPr="00534B02" w:rsidRDefault="00534B02" w:rsidP="00960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الايرادات الفعلية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34B02" w:rsidRPr="00534B02" w:rsidRDefault="00534B02" w:rsidP="00960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الأهمية النسبية </w:t>
            </w:r>
          </w:p>
        </w:tc>
      </w:tr>
      <w:tr w:rsidR="00534B02" w:rsidRPr="00534B02" w:rsidTr="002572ED">
        <w:trPr>
          <w:trHeight w:val="20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34B02" w:rsidRPr="00534B02" w:rsidRDefault="00534B02" w:rsidP="00534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الايرادات النفطية والثروات المعدنية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34B02" w:rsidRPr="00534B02" w:rsidRDefault="00534B02" w:rsidP="00F60C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6,816,588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34B02" w:rsidRPr="00534B02" w:rsidRDefault="00534B02" w:rsidP="00F60C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67%</w:t>
            </w:r>
          </w:p>
        </w:tc>
      </w:tr>
      <w:tr w:rsidR="00534B02" w:rsidRPr="00534B02" w:rsidTr="002572ED">
        <w:trPr>
          <w:trHeight w:val="20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34B02" w:rsidRPr="00534B02" w:rsidRDefault="00534B02" w:rsidP="00534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الايرادات التحويلية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34B02" w:rsidRPr="00534B02" w:rsidRDefault="00534B02" w:rsidP="00F60C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2,712,254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34B02" w:rsidRPr="00534B02" w:rsidRDefault="00534B02" w:rsidP="00F60C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27%</w:t>
            </w:r>
          </w:p>
        </w:tc>
      </w:tr>
      <w:tr w:rsidR="00534B02" w:rsidRPr="00534B02" w:rsidTr="002572ED">
        <w:trPr>
          <w:trHeight w:val="20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34B02" w:rsidRPr="00534B02" w:rsidRDefault="00534B02" w:rsidP="00534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الضرائب على الدخول والثروات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34B02" w:rsidRPr="00534B02" w:rsidRDefault="00534B02" w:rsidP="00F60C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188,307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34B02" w:rsidRPr="00534B02" w:rsidRDefault="00534B02" w:rsidP="00F60C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2%</w:t>
            </w:r>
          </w:p>
        </w:tc>
      </w:tr>
      <w:tr w:rsidR="00534B02" w:rsidRPr="00534B02" w:rsidTr="002572ED">
        <w:trPr>
          <w:trHeight w:val="20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34B02" w:rsidRPr="00534B02" w:rsidRDefault="00534B02" w:rsidP="00534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الرسوم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34B02" w:rsidRPr="00534B02" w:rsidRDefault="00534B02" w:rsidP="00F60C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101,269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34B02" w:rsidRPr="00534B02" w:rsidRDefault="00534B02" w:rsidP="00F60C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534B02" w:rsidRPr="00534B02" w:rsidTr="002572ED">
        <w:trPr>
          <w:trHeight w:val="20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34B02" w:rsidRPr="00534B02" w:rsidRDefault="00534B02" w:rsidP="00534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الضرائب السلعية ورسوم الانتاج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34B02" w:rsidRPr="00534B02" w:rsidRDefault="00534B02" w:rsidP="00F60C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93,927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34B02" w:rsidRPr="00534B02" w:rsidRDefault="00534B02" w:rsidP="00F60C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534B02" w:rsidRPr="00534B02" w:rsidTr="002572ED">
        <w:trPr>
          <w:trHeight w:val="20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34B02" w:rsidRPr="00534B02" w:rsidRDefault="00534B02" w:rsidP="00534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ايرادات اخرى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34B02" w:rsidRPr="00534B02" w:rsidRDefault="00534B02" w:rsidP="00F60C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93,000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34B02" w:rsidRPr="00534B02" w:rsidRDefault="00534B02" w:rsidP="00F60C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534B02" w:rsidRPr="00534B02" w:rsidTr="002572ED">
        <w:trPr>
          <w:trHeight w:val="20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34B02" w:rsidRPr="00534B02" w:rsidRDefault="00534B02" w:rsidP="00534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حصة الموازنة من ارباح القطاع العام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34B02" w:rsidRPr="00534B02" w:rsidRDefault="00534B02" w:rsidP="00F60C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90,925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34B02" w:rsidRPr="00534B02" w:rsidRDefault="00534B02" w:rsidP="00F60C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534B02" w:rsidRPr="00534B02" w:rsidTr="002572ED">
        <w:trPr>
          <w:trHeight w:val="20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34B02" w:rsidRPr="00534B02" w:rsidRDefault="00534B02" w:rsidP="00534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الايرادات الرأسمالية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34B02" w:rsidRPr="00534B02" w:rsidRDefault="00534B02" w:rsidP="00F60C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38,565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34B02" w:rsidRPr="00534B02" w:rsidRDefault="00534B02" w:rsidP="00F60C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0.4%</w:t>
            </w:r>
          </w:p>
        </w:tc>
      </w:tr>
      <w:tr w:rsidR="00534B02" w:rsidRPr="00534B02" w:rsidTr="002572ED">
        <w:trPr>
          <w:trHeight w:val="20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34B02" w:rsidRPr="00534B02" w:rsidRDefault="00534B02" w:rsidP="00534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المجموع العام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34B02" w:rsidRPr="00534B02" w:rsidRDefault="00534B02" w:rsidP="00F60C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10,134,835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34B02" w:rsidRPr="00534B02" w:rsidRDefault="00534B02" w:rsidP="00F60C8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100%</w:t>
            </w:r>
          </w:p>
        </w:tc>
      </w:tr>
    </w:tbl>
    <w:p w:rsidR="00F12553" w:rsidRDefault="00F12553">
      <w:pPr>
        <w:rPr>
          <w:rtl/>
        </w:rPr>
      </w:pPr>
    </w:p>
    <w:p w:rsidR="00F12553" w:rsidRDefault="00534B02">
      <w:pPr>
        <w:rPr>
          <w:rtl/>
          <w:lang w:bidi="ar-IQ"/>
        </w:rPr>
      </w:pPr>
      <w:r>
        <w:rPr>
          <w:noProof/>
        </w:rPr>
        <w:drawing>
          <wp:inline distT="0" distB="0" distL="0" distR="0" wp14:anchorId="62C7487E" wp14:editId="47014100">
            <wp:extent cx="7763608" cy="2708031"/>
            <wp:effectExtent l="0" t="0" r="27940" b="1651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72ED" w:rsidRDefault="002572ED">
      <w:pPr>
        <w:rPr>
          <w:rtl/>
          <w:lang w:bidi="ar-IQ"/>
        </w:rPr>
      </w:pPr>
    </w:p>
    <w:tbl>
      <w:tblPr>
        <w:bidiVisual/>
        <w:tblW w:w="0" w:type="auto"/>
        <w:tblInd w:w="93" w:type="dxa"/>
        <w:tblLook w:val="04A0" w:firstRow="1" w:lastRow="0" w:firstColumn="1" w:lastColumn="0" w:noHBand="0" w:noVBand="1"/>
      </w:tblPr>
      <w:tblGrid>
        <w:gridCol w:w="2278"/>
        <w:gridCol w:w="1318"/>
        <w:gridCol w:w="1195"/>
        <w:gridCol w:w="1584"/>
        <w:gridCol w:w="1281"/>
      </w:tblGrid>
      <w:tr w:rsidR="00534B02" w:rsidRPr="00534B02" w:rsidTr="002572ED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34B02" w:rsidRPr="00534B02" w:rsidRDefault="00534B02" w:rsidP="00960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lastRenderedPageBreak/>
              <w:t xml:space="preserve">جدول يوضح نسبة الأنفاق الفعلي والأهمية النسبية حسب التصنيف الأقتصادي </w:t>
            </w:r>
          </w:p>
        </w:tc>
      </w:tr>
      <w:tr w:rsidR="002572ED" w:rsidRPr="002572ED" w:rsidTr="002572ED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2572ED" w:rsidRPr="002572ED" w:rsidRDefault="002572ED" w:rsidP="00534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2572ED" w:rsidRPr="002572ED" w:rsidTr="002572E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4B02" w:rsidRPr="00534B02" w:rsidRDefault="00534B02" w:rsidP="00534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الفصول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4B02" w:rsidRPr="00534B02" w:rsidRDefault="00534B02" w:rsidP="00960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4B02" w:rsidRPr="00534B02" w:rsidRDefault="00534B02" w:rsidP="00960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الأنفاق الفعلي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4B02" w:rsidRPr="00534B02" w:rsidRDefault="00534B02" w:rsidP="00960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الأنفاق الفعلي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4B02" w:rsidRPr="00534B02" w:rsidRDefault="00534B02" w:rsidP="00960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الأهمية النسبية </w:t>
            </w:r>
          </w:p>
        </w:tc>
      </w:tr>
      <w:tr w:rsidR="002572ED" w:rsidRPr="00534B02" w:rsidTr="002572E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تعويضات الموظفين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38,550,630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4,328,539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11%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79%</w:t>
            </w:r>
          </w:p>
        </w:tc>
      </w:tr>
      <w:tr w:rsidR="002572ED" w:rsidRPr="00534B02" w:rsidTr="002572E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الرعاية الاجتماعية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19,624,201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709,211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4%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13%</w:t>
            </w:r>
          </w:p>
        </w:tc>
      </w:tr>
      <w:tr w:rsidR="002572ED" w:rsidRPr="00534B02" w:rsidTr="002572E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المنح والاعانات وخدمة الدين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12,343,115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334,768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3%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6%</w:t>
            </w:r>
          </w:p>
        </w:tc>
      </w:tr>
      <w:tr w:rsidR="002572ED" w:rsidRPr="00534B02" w:rsidTr="002572E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المستلزمات السلعية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4,750,015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65,130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2572ED" w:rsidRPr="00534B02" w:rsidTr="002572E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المستلزمات الخدمية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963,556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34,670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4%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2572ED" w:rsidRPr="00534B02" w:rsidTr="002572E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صيانة الموجودات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723,818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13,334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2%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0.2%</w:t>
            </w:r>
          </w:p>
        </w:tc>
      </w:tr>
      <w:tr w:rsidR="002572ED" w:rsidRPr="00534B02" w:rsidTr="002572E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النفقات الرأسمالية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499,465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6,296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0.1%</w:t>
            </w:r>
          </w:p>
        </w:tc>
      </w:tr>
      <w:tr w:rsidR="002572ED" w:rsidRPr="00534B02" w:rsidTr="002572E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الالتزامات والمساهمات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595,128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0%</w:t>
            </w:r>
          </w:p>
        </w:tc>
      </w:tr>
      <w:tr w:rsidR="002572ED" w:rsidRPr="00534B02" w:rsidTr="002572E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البرامج الخاصة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198,464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0%</w:t>
            </w:r>
          </w:p>
        </w:tc>
      </w:tr>
      <w:tr w:rsidR="002572ED" w:rsidRPr="00534B02" w:rsidTr="002572E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المجموع العام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78,248,392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5,491,948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7%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34B02" w:rsidRPr="00534B02" w:rsidRDefault="00534B02" w:rsidP="00534B0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4B02">
              <w:rPr>
                <w:rFonts w:ascii="Arial" w:eastAsia="Times New Roman" w:hAnsi="Arial" w:cs="Arial"/>
                <w:b/>
                <w:bCs/>
                <w:color w:val="000000"/>
              </w:rPr>
              <w:t>100%</w:t>
            </w:r>
          </w:p>
        </w:tc>
      </w:tr>
    </w:tbl>
    <w:p w:rsidR="00534B02" w:rsidRPr="002572ED" w:rsidRDefault="00534B02">
      <w:pPr>
        <w:rPr>
          <w:rtl/>
        </w:rPr>
      </w:pPr>
    </w:p>
    <w:p w:rsidR="003D4FDE" w:rsidRDefault="003D4FDE">
      <w:pPr>
        <w:rPr>
          <w:rtl/>
        </w:rPr>
      </w:pPr>
    </w:p>
    <w:p w:rsidR="00F12553" w:rsidRDefault="00F12553">
      <w:pPr>
        <w:rPr>
          <w:rtl/>
        </w:rPr>
      </w:pPr>
    </w:p>
    <w:p w:rsidR="002572ED" w:rsidRDefault="000C2FC4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58BD6A1E" wp14:editId="5BAF0C4A">
            <wp:extent cx="7139354" cy="2532185"/>
            <wp:effectExtent l="0" t="0" r="23495" b="2095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C2FC4" w:rsidRDefault="00221730">
      <w:pPr>
        <w:rPr>
          <w:rtl/>
        </w:rPr>
      </w:pPr>
      <w:r>
        <w:rPr>
          <w:noProof/>
        </w:rPr>
        <w:drawing>
          <wp:inline distT="0" distB="0" distL="0" distR="0" wp14:anchorId="402BF73E" wp14:editId="68F99F5A">
            <wp:extent cx="7112899" cy="2484255"/>
            <wp:effectExtent l="0" t="0" r="12065" b="1143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2737"/>
        <w:gridCol w:w="1318"/>
        <w:gridCol w:w="1195"/>
        <w:gridCol w:w="1511"/>
        <w:gridCol w:w="2448"/>
        <w:gridCol w:w="1587"/>
        <w:gridCol w:w="1938"/>
      </w:tblGrid>
      <w:tr w:rsidR="000C2FC4" w:rsidRPr="00B611D5" w:rsidTr="00B611D5">
        <w:trPr>
          <w:trHeight w:val="283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C2FC4" w:rsidRPr="00B611D5" w:rsidRDefault="000C2FC4" w:rsidP="00960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lastRenderedPageBreak/>
              <w:t xml:space="preserve">ملخص تنفيذ الموازنه حسب التصنيف الأداري مع السلف والألتزامات </w:t>
            </w:r>
            <w:r w:rsidR="00B611D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(الجزء الآول)</w:t>
            </w:r>
          </w:p>
        </w:tc>
      </w:tr>
      <w:tr w:rsidR="000C2FC4" w:rsidRPr="00B611D5" w:rsidTr="0002319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0C2FC4" w:rsidRPr="00B611D5" w:rsidRDefault="000C2FC4" w:rsidP="000C2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اسماء الوزارات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0C2FC4" w:rsidRPr="00B611D5" w:rsidRDefault="000C2FC4" w:rsidP="00960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0C2FC4" w:rsidRPr="00B611D5" w:rsidRDefault="000C2FC4" w:rsidP="00960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0C2FC4" w:rsidRPr="00B611D5" w:rsidRDefault="000C2FC4" w:rsidP="00960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السلف والألتزامات 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0C2FC4" w:rsidRPr="00B611D5" w:rsidRDefault="000C2FC4" w:rsidP="00023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الأجمالي(فعلي+ سلف )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0C2FC4" w:rsidRPr="00B611D5" w:rsidRDefault="000C2FC4" w:rsidP="00960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التنفيذ للنفقات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0C2FC4" w:rsidRPr="00B611D5" w:rsidRDefault="000C2FC4" w:rsidP="00960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التنفيذ للانفاق العام </w:t>
            </w:r>
          </w:p>
        </w:tc>
      </w:tr>
      <w:tr w:rsidR="000C2FC4" w:rsidRPr="00B611D5" w:rsidTr="0002319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FC4" w:rsidRPr="00B611D5" w:rsidRDefault="000C2FC4" w:rsidP="000C2F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النفط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999,593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4,373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463,233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467,605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47%</w:t>
            </w:r>
          </w:p>
        </w:tc>
      </w:tr>
      <w:tr w:rsidR="000C2FC4" w:rsidRPr="00B611D5" w:rsidTr="0002319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FC4" w:rsidRPr="00B611D5" w:rsidRDefault="000C2FC4" w:rsidP="000C2F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وزارةالدفاع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5,057,537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861,715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20,297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882,012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17%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17%</w:t>
            </w:r>
          </w:p>
        </w:tc>
      </w:tr>
      <w:tr w:rsidR="000C2FC4" w:rsidRPr="00B611D5" w:rsidTr="0002319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FC4" w:rsidRPr="00B611D5" w:rsidRDefault="000C2FC4" w:rsidP="000C2F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التربية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7,272,791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1,089,993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1,510-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1,088,483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15%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15%</w:t>
            </w:r>
          </w:p>
        </w:tc>
      </w:tr>
      <w:tr w:rsidR="000C2FC4" w:rsidRPr="00B611D5" w:rsidTr="0002319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FC4" w:rsidRPr="00B611D5" w:rsidRDefault="000C2FC4" w:rsidP="000C2F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العلوم والتكنولوجيا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144,455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21,280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128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21,408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15%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15%</w:t>
            </w:r>
          </w:p>
        </w:tc>
      </w:tr>
      <w:tr w:rsidR="000C2FC4" w:rsidRPr="00B611D5" w:rsidTr="0002319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FC4" w:rsidRPr="00B611D5" w:rsidRDefault="000C2FC4" w:rsidP="000C2F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التخطيط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43,039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6,104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173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6,277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14%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15%</w:t>
            </w:r>
          </w:p>
        </w:tc>
      </w:tr>
      <w:tr w:rsidR="000C2FC4" w:rsidRPr="00B611D5" w:rsidTr="0002319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FC4" w:rsidRPr="00B611D5" w:rsidRDefault="000C2FC4" w:rsidP="000C2F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العدل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452,113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63,445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294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63,738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14%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14%</w:t>
            </w:r>
          </w:p>
        </w:tc>
      </w:tr>
      <w:tr w:rsidR="000C2FC4" w:rsidRPr="00B611D5" w:rsidTr="0002319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FC4" w:rsidRPr="00B611D5" w:rsidRDefault="000C2FC4" w:rsidP="000C2F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التعليم العالي والبحث العلمي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2,589,664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296,483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65,585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362,068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11%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14%</w:t>
            </w:r>
          </w:p>
        </w:tc>
      </w:tr>
      <w:tr w:rsidR="000C2FC4" w:rsidRPr="00B611D5" w:rsidTr="0002319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FC4" w:rsidRPr="00B611D5" w:rsidRDefault="000C2FC4" w:rsidP="000C2F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حقوق الانسان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16,915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2,208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111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2,319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13%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14%</w:t>
            </w:r>
          </w:p>
        </w:tc>
      </w:tr>
      <w:tr w:rsidR="000C2FC4" w:rsidRPr="00B611D5" w:rsidTr="0002319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FC4" w:rsidRPr="00B611D5" w:rsidRDefault="000C2FC4" w:rsidP="000C2F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الثقافة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96,982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10,532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2,066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12,599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11%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13%</w:t>
            </w:r>
          </w:p>
        </w:tc>
      </w:tr>
      <w:tr w:rsidR="000C2FC4" w:rsidRPr="00B611D5" w:rsidTr="0002319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FC4" w:rsidRPr="00B611D5" w:rsidRDefault="000C2FC4" w:rsidP="000C2F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الموارد المائية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232,308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29,516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474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29,990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13%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13%</w:t>
            </w:r>
          </w:p>
        </w:tc>
      </w:tr>
      <w:tr w:rsidR="000C2FC4" w:rsidRPr="00B611D5" w:rsidTr="0002319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FC4" w:rsidRPr="00B611D5" w:rsidRDefault="000C2FC4" w:rsidP="000C2F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الصناعة والمعادن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46,928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5,795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139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5,934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12%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13%</w:t>
            </w:r>
          </w:p>
        </w:tc>
      </w:tr>
      <w:tr w:rsidR="000C2FC4" w:rsidRPr="00B611D5" w:rsidTr="0002319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FC4" w:rsidRPr="00B611D5" w:rsidRDefault="000C2FC4" w:rsidP="000C2F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مجلس القضاء الاعلى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390,074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45,065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1,309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46,374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12%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12%</w:t>
            </w:r>
          </w:p>
        </w:tc>
      </w:tr>
      <w:tr w:rsidR="000C2FC4" w:rsidRPr="00B611D5" w:rsidTr="0002319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FC4" w:rsidRPr="00B611D5" w:rsidRDefault="000C2FC4" w:rsidP="000C2F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الشباب والرياضة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95,816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9,348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1,824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11,172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10%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12%</w:t>
            </w:r>
          </w:p>
        </w:tc>
      </w:tr>
      <w:tr w:rsidR="000C2FC4" w:rsidRPr="00B611D5" w:rsidTr="0002319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FC4" w:rsidRPr="00B611D5" w:rsidRDefault="000C2FC4" w:rsidP="000C2F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البيئة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59,698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6,278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673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6,951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11%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12%</w:t>
            </w:r>
          </w:p>
        </w:tc>
      </w:tr>
      <w:tr w:rsidR="000C2FC4" w:rsidRPr="00B611D5" w:rsidTr="0002319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FC4" w:rsidRPr="00B611D5" w:rsidRDefault="000C2FC4" w:rsidP="000C2F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مجلس النواب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643,230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71,587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624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72,211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11%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11%</w:t>
            </w:r>
          </w:p>
        </w:tc>
      </w:tr>
      <w:tr w:rsidR="000C2FC4" w:rsidRPr="00B611D5" w:rsidTr="0002319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C2FC4" w:rsidRPr="00B611D5" w:rsidRDefault="000C2FC4" w:rsidP="000C2F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الداخلية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11,052,559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1,236,064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4,033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1,240,096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11%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0C2FC4" w:rsidRPr="00B611D5" w:rsidRDefault="000C2FC4" w:rsidP="00B611D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11%</w:t>
            </w:r>
          </w:p>
        </w:tc>
      </w:tr>
    </w:tbl>
    <w:p w:rsidR="000C2FC4" w:rsidRDefault="000C2FC4">
      <w:pPr>
        <w:rPr>
          <w:rtl/>
          <w:lang w:bidi="ar-IQ"/>
        </w:rPr>
      </w:pPr>
    </w:p>
    <w:p w:rsidR="00F12553" w:rsidRDefault="00F12553">
      <w:pPr>
        <w:rPr>
          <w:rtl/>
        </w:rPr>
      </w:pPr>
    </w:p>
    <w:p w:rsidR="00F12553" w:rsidRDefault="00F12553">
      <w:pPr>
        <w:rPr>
          <w:rtl/>
        </w:rPr>
      </w:pPr>
    </w:p>
    <w:p w:rsidR="00F12553" w:rsidRDefault="000C2FC4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034AA02C" wp14:editId="60EF6C6F">
            <wp:extent cx="8448085" cy="4304963"/>
            <wp:effectExtent l="0" t="0" r="10160" b="1968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11D5" w:rsidRDefault="00B611D5">
      <w:pPr>
        <w:rPr>
          <w:rtl/>
        </w:rPr>
      </w:pPr>
    </w:p>
    <w:p w:rsidR="00B611D5" w:rsidRDefault="00B611D5">
      <w:pPr>
        <w:rPr>
          <w:rtl/>
        </w:rPr>
      </w:pPr>
    </w:p>
    <w:p w:rsidR="00B611D5" w:rsidRDefault="00B611D5">
      <w:pPr>
        <w:rPr>
          <w:rtl/>
        </w:rPr>
      </w:pPr>
    </w:p>
    <w:p w:rsidR="00B611D5" w:rsidRDefault="00B611D5">
      <w:pPr>
        <w:rPr>
          <w:rtl/>
        </w:rPr>
      </w:pPr>
    </w:p>
    <w:tbl>
      <w:tblPr>
        <w:bidiVisual/>
        <w:tblW w:w="0" w:type="auto"/>
        <w:tblInd w:w="93" w:type="dxa"/>
        <w:tblLook w:val="04A0" w:firstRow="1" w:lastRow="0" w:firstColumn="1" w:lastColumn="0" w:noHBand="0" w:noVBand="1"/>
      </w:tblPr>
      <w:tblGrid>
        <w:gridCol w:w="2574"/>
        <w:gridCol w:w="1318"/>
        <w:gridCol w:w="1178"/>
        <w:gridCol w:w="1523"/>
        <w:gridCol w:w="2415"/>
        <w:gridCol w:w="1608"/>
        <w:gridCol w:w="1967"/>
      </w:tblGrid>
      <w:tr w:rsidR="000C2FC4" w:rsidRPr="00B611D5" w:rsidTr="00B2593A">
        <w:trPr>
          <w:trHeight w:val="283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C2FC4" w:rsidRPr="00B611D5" w:rsidRDefault="000C2FC4" w:rsidP="00960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ملخص تنفيذ الموازنه حسب التصنيف الأداري مع السلف والألتزامات </w:t>
            </w:r>
            <w:r w:rsidR="00B2593A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(الجزء الثاني)</w:t>
            </w:r>
          </w:p>
        </w:tc>
      </w:tr>
      <w:tr w:rsidR="000C2FC4" w:rsidRPr="00B611D5" w:rsidTr="00B259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0C2FC4" w:rsidRPr="00B611D5" w:rsidRDefault="000C2FC4" w:rsidP="000C2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اسماء الوزارات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0C2FC4" w:rsidRPr="00B611D5" w:rsidRDefault="000C2FC4" w:rsidP="00960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0C2FC4" w:rsidRPr="00B611D5" w:rsidRDefault="000C2FC4" w:rsidP="00960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0C2FC4" w:rsidRPr="00B611D5" w:rsidRDefault="000C2FC4" w:rsidP="00960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السلف والألتزامات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0C2FC4" w:rsidRPr="00B611D5" w:rsidRDefault="000C2FC4" w:rsidP="00023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الأجمالي(فعلي+ سلف )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0C2FC4" w:rsidRPr="00B611D5" w:rsidRDefault="000C2FC4" w:rsidP="00960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التنفيذ للنفقات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0C2FC4" w:rsidRPr="00B611D5" w:rsidRDefault="000C2FC4" w:rsidP="00960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التنفيذ للانفاق العام </w:t>
            </w:r>
          </w:p>
        </w:tc>
      </w:tr>
      <w:tr w:rsidR="000C2FC4" w:rsidRPr="00B611D5" w:rsidTr="00B259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C2FC4" w:rsidRPr="00B611D5" w:rsidRDefault="000C2FC4" w:rsidP="000C2F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رئاسة الجمهورية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84,100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8,059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976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9,035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10%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11%</w:t>
            </w:r>
          </w:p>
        </w:tc>
      </w:tr>
      <w:tr w:rsidR="000C2FC4" w:rsidRPr="00B611D5" w:rsidTr="00B259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C2FC4" w:rsidRPr="00B611D5" w:rsidRDefault="000C2FC4" w:rsidP="000C2F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الاتصالات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15,941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1,664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1,678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10%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11%</w:t>
            </w:r>
          </w:p>
        </w:tc>
      </w:tr>
      <w:tr w:rsidR="000C2FC4" w:rsidRPr="00B611D5" w:rsidTr="00B259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C2FC4" w:rsidRPr="00B611D5" w:rsidRDefault="000C2FC4" w:rsidP="000C2F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السياحة والاثار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85,283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7,812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1,133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8,945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9%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10%</w:t>
            </w:r>
          </w:p>
        </w:tc>
      </w:tr>
      <w:tr w:rsidR="000C2FC4" w:rsidRPr="00B611D5" w:rsidTr="00B259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C2FC4" w:rsidRPr="00B611D5" w:rsidRDefault="000C2FC4" w:rsidP="000C2F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دوائر غير مرتبطة بوزارة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763,009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68,986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9,572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78,557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9%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10%</w:t>
            </w:r>
          </w:p>
        </w:tc>
      </w:tr>
      <w:tr w:rsidR="000C2FC4" w:rsidRPr="00B611D5" w:rsidTr="00B259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C2FC4" w:rsidRPr="00B611D5" w:rsidRDefault="000C2FC4" w:rsidP="000C2F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مجلس الوزراء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3,722,400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200,008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124,510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324,518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5%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9%</w:t>
            </w:r>
          </w:p>
        </w:tc>
      </w:tr>
      <w:tr w:rsidR="000C2FC4" w:rsidRPr="00B611D5" w:rsidTr="00B259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C2FC4" w:rsidRPr="00B611D5" w:rsidRDefault="000C2FC4" w:rsidP="000C2F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الاعمار والاسكان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219,322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17,111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1,313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18,424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8%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8%</w:t>
            </w:r>
          </w:p>
        </w:tc>
      </w:tr>
      <w:tr w:rsidR="000C2FC4" w:rsidRPr="00B611D5" w:rsidTr="00B259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C2FC4" w:rsidRPr="00B611D5" w:rsidRDefault="000C2FC4" w:rsidP="000C2F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الزراعة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808,788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40,752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22,764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63,515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5%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8%</w:t>
            </w:r>
          </w:p>
        </w:tc>
      </w:tr>
      <w:tr w:rsidR="000C2FC4" w:rsidRPr="00B611D5" w:rsidTr="00B259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C2FC4" w:rsidRPr="00B611D5" w:rsidRDefault="000C2FC4" w:rsidP="000C2F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البلديات والاشغال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741,769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31,103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24,902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56,005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4%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8%</w:t>
            </w:r>
          </w:p>
        </w:tc>
      </w:tr>
      <w:tr w:rsidR="000C2FC4" w:rsidRPr="00B611D5" w:rsidTr="00B259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C2FC4" w:rsidRPr="00B611D5" w:rsidRDefault="000C2FC4" w:rsidP="000C2F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الصحة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5,077,292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329,818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40,990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370,809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6%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7%</w:t>
            </w:r>
          </w:p>
        </w:tc>
      </w:tr>
      <w:tr w:rsidR="000C2FC4" w:rsidRPr="00B611D5" w:rsidTr="00B259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C2FC4" w:rsidRPr="00B611D5" w:rsidRDefault="000C2FC4" w:rsidP="000C2F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النقل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132,116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7,769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586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8,355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6%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6%</w:t>
            </w:r>
          </w:p>
        </w:tc>
      </w:tr>
      <w:tr w:rsidR="000C2FC4" w:rsidRPr="00B611D5" w:rsidTr="00B259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C2FC4" w:rsidRPr="00B611D5" w:rsidRDefault="000C2FC4" w:rsidP="000C2F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الخارجية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415,734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5,169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20,974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26,143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6%</w:t>
            </w:r>
          </w:p>
        </w:tc>
      </w:tr>
      <w:tr w:rsidR="000C2FC4" w:rsidRPr="00B611D5" w:rsidTr="00B259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C2FC4" w:rsidRPr="00B611D5" w:rsidRDefault="000C2FC4" w:rsidP="000C2F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المالية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17,335,830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960,889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498,790-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462,099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6%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3%</w:t>
            </w:r>
          </w:p>
        </w:tc>
      </w:tr>
      <w:tr w:rsidR="000C2FC4" w:rsidRPr="00B611D5" w:rsidTr="00B259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C2FC4" w:rsidRPr="00B611D5" w:rsidRDefault="000C2FC4" w:rsidP="000C2F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وزارةالعمل والشوؤن الاجتماعية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1,547,621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19,954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201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20,156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0C2FC4" w:rsidRPr="00B611D5" w:rsidTr="00B259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C2FC4" w:rsidRPr="00B611D5" w:rsidRDefault="000C2FC4" w:rsidP="000C2F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المهجرين والمهاجرين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2,584,784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20,584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20,672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0C2FC4" w:rsidRPr="00B611D5" w:rsidTr="00B259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C2FC4" w:rsidRPr="00B611D5" w:rsidRDefault="000C2FC4" w:rsidP="000C2F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التجارة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4,314,024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9,129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9,236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0.2%</w:t>
            </w:r>
          </w:p>
        </w:tc>
      </w:tr>
      <w:tr w:rsidR="000C2FC4" w:rsidRPr="00B611D5" w:rsidTr="00B259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C2FC4" w:rsidRPr="00B611D5" w:rsidRDefault="000C2FC4" w:rsidP="000C2F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الكهرباء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1,910,117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3,357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131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3,488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0.2%</w:t>
            </w:r>
          </w:p>
        </w:tc>
      </w:tr>
      <w:tr w:rsidR="000C2FC4" w:rsidRPr="00B611D5" w:rsidTr="00B2593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C2FC4" w:rsidRPr="00B611D5" w:rsidRDefault="000C2FC4" w:rsidP="000C2F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حكومة اقليم كردستان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9,296,560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C2FC4" w:rsidRPr="00B611D5" w:rsidRDefault="000C2FC4" w:rsidP="00B259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1D5">
              <w:rPr>
                <w:rFonts w:ascii="Arial" w:eastAsia="Times New Roman" w:hAnsi="Arial" w:cs="Arial"/>
                <w:b/>
                <w:bCs/>
                <w:color w:val="000000"/>
              </w:rPr>
              <w:t>0.0%</w:t>
            </w:r>
          </w:p>
        </w:tc>
      </w:tr>
    </w:tbl>
    <w:p w:rsidR="000C2FC4" w:rsidRPr="00B611D5" w:rsidRDefault="000C2FC4">
      <w:pPr>
        <w:rPr>
          <w:rtl/>
        </w:rPr>
      </w:pPr>
    </w:p>
    <w:p w:rsidR="000C2FC4" w:rsidRDefault="000C2FC4">
      <w:pPr>
        <w:rPr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5C1FBDDC" wp14:editId="48C3821B">
            <wp:extent cx="8423809" cy="3835625"/>
            <wp:effectExtent l="0" t="0" r="15875" b="1270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12553" w:rsidRDefault="00F12553">
      <w:pPr>
        <w:rPr>
          <w:rtl/>
          <w:lang w:bidi="ar-IQ"/>
        </w:rPr>
      </w:pPr>
    </w:p>
    <w:p w:rsidR="00F12553" w:rsidRDefault="00F12553">
      <w:pPr>
        <w:rPr>
          <w:rtl/>
        </w:rPr>
      </w:pPr>
    </w:p>
    <w:sectPr w:rsidR="00F12553" w:rsidSect="00DB19B9">
      <w:footerReference w:type="default" r:id="rId14"/>
      <w:pgSz w:w="16838" w:h="11906" w:orient="landscape" w:code="9"/>
      <w:pgMar w:top="1440" w:right="2160" w:bottom="2160" w:left="2160" w:header="706" w:footer="70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F1" w:rsidRDefault="00D353F1" w:rsidP="00A332E8">
      <w:pPr>
        <w:spacing w:after="0" w:line="240" w:lineRule="auto"/>
      </w:pPr>
      <w:r>
        <w:separator/>
      </w:r>
    </w:p>
  </w:endnote>
  <w:endnote w:type="continuationSeparator" w:id="0">
    <w:p w:rsidR="00D353F1" w:rsidRDefault="00D353F1" w:rsidP="00A3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38088181"/>
      <w:docPartObj>
        <w:docPartGallery w:val="Page Numbers (Bottom of Page)"/>
        <w:docPartUnique/>
      </w:docPartObj>
    </w:sdtPr>
    <w:sdtEndPr/>
    <w:sdtContent>
      <w:p w:rsidR="002572ED" w:rsidRDefault="002572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244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:rsidR="002572ED" w:rsidRDefault="002572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F1" w:rsidRDefault="00D353F1" w:rsidP="00A332E8">
      <w:pPr>
        <w:spacing w:after="0" w:line="240" w:lineRule="auto"/>
      </w:pPr>
      <w:r>
        <w:separator/>
      </w:r>
    </w:p>
  </w:footnote>
  <w:footnote w:type="continuationSeparator" w:id="0">
    <w:p w:rsidR="00D353F1" w:rsidRDefault="00D353F1" w:rsidP="00A33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1C"/>
    <w:rsid w:val="0002319A"/>
    <w:rsid w:val="000C2FC4"/>
    <w:rsid w:val="00221730"/>
    <w:rsid w:val="002476AF"/>
    <w:rsid w:val="002572ED"/>
    <w:rsid w:val="0039618B"/>
    <w:rsid w:val="003D4FDE"/>
    <w:rsid w:val="00422227"/>
    <w:rsid w:val="004D476F"/>
    <w:rsid w:val="0052793A"/>
    <w:rsid w:val="005315FB"/>
    <w:rsid w:val="00534B02"/>
    <w:rsid w:val="00586D89"/>
    <w:rsid w:val="00641244"/>
    <w:rsid w:val="00643CCC"/>
    <w:rsid w:val="00815E53"/>
    <w:rsid w:val="0090285D"/>
    <w:rsid w:val="00960962"/>
    <w:rsid w:val="00963C55"/>
    <w:rsid w:val="00972BEB"/>
    <w:rsid w:val="00986482"/>
    <w:rsid w:val="009E571C"/>
    <w:rsid w:val="00A332E8"/>
    <w:rsid w:val="00A57B43"/>
    <w:rsid w:val="00AA4E4A"/>
    <w:rsid w:val="00AC4511"/>
    <w:rsid w:val="00B2593A"/>
    <w:rsid w:val="00B444BB"/>
    <w:rsid w:val="00B611D5"/>
    <w:rsid w:val="00B77FCB"/>
    <w:rsid w:val="00B85777"/>
    <w:rsid w:val="00BE26EA"/>
    <w:rsid w:val="00CB518E"/>
    <w:rsid w:val="00D353F1"/>
    <w:rsid w:val="00DB19B9"/>
    <w:rsid w:val="00E01844"/>
    <w:rsid w:val="00EB54E0"/>
    <w:rsid w:val="00EE6E7F"/>
    <w:rsid w:val="00F12553"/>
    <w:rsid w:val="00F24A81"/>
    <w:rsid w:val="00F60C81"/>
    <w:rsid w:val="00FA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2E8"/>
  </w:style>
  <w:style w:type="paragraph" w:styleId="Footer">
    <w:name w:val="footer"/>
    <w:basedOn w:val="Normal"/>
    <w:link w:val="Foot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2E8"/>
  </w:style>
  <w:style w:type="paragraph" w:styleId="Footer">
    <w:name w:val="footer"/>
    <w:basedOn w:val="Normal"/>
    <w:link w:val="Foot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5\&#1588;&#1576;&#1575;&#1591;\&#1578;&#1602;&#1585;&#1610;&#1585;%20&#1578;&#1606;&#1601;&#1610;&#1584;%20&#1575;&#1604;&#1605;&#1608;&#1575;&#1586;&#1606;&#1577;%20&#1604;&#1594;&#1575;&#1610;&#1577;%20&#1588;&#1576;&#1575;&#1591;%20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5\&#1588;&#1576;&#1575;&#1591;\&#1578;&#1602;&#1585;&#1610;&#1585;%20&#1578;&#1606;&#1601;&#1610;&#1584;%20&#1575;&#1604;&#1605;&#1608;&#1575;&#1586;&#1606;&#1577;%20&#1604;&#1594;&#1575;&#1610;&#1577;%20&#1588;&#1576;&#1575;&#1591;%20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5\&#1588;&#1576;&#1575;&#1591;\&#1578;&#1602;&#1585;&#1610;&#1585;%20&#1578;&#1606;&#1601;&#1610;&#1584;%20&#1575;&#1604;&#1605;&#1608;&#1575;&#1586;&#1606;&#1577;%20&#1604;&#1594;&#1575;&#1610;&#1577;%20&#1588;&#1576;&#1575;&#1591;%20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5\&#1588;&#1576;&#1575;&#1591;\&#1578;&#1602;&#1585;&#1610;&#1585;%20&#1578;&#1606;&#1601;&#1610;&#1584;%20&#1575;&#1604;&#1605;&#1608;&#1575;&#1586;&#1606;&#1577;%20&#1604;&#1594;&#1575;&#1610;&#1577;%20&#1588;&#1576;&#1575;&#1591;%20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5\&#1588;&#1576;&#1575;&#1591;\&#1578;&#1602;&#1585;&#1610;&#1585;%20&#1578;&#1606;&#1601;&#1610;&#1584;%20&#1575;&#1604;&#1605;&#1608;&#1575;&#1586;&#1606;&#1577;%20&#1604;&#1594;&#1575;&#1610;&#1577;%20&#1588;&#1576;&#1575;&#1591;%20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5\&#1588;&#1576;&#1575;&#1591;\&#1578;&#1602;&#1585;&#1610;&#1585;%20&#1578;&#1606;&#1601;&#1610;&#1584;%20&#1575;&#1604;&#1605;&#1608;&#1575;&#1586;&#1606;&#1577;%20&#1604;&#1594;&#1575;&#1610;&#1577;%20&#1588;&#1576;&#1575;&#1591;%2020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5\&#1588;&#1576;&#1575;&#1591;\&#1578;&#1602;&#1585;&#1610;&#1585;%20&#1578;&#1606;&#1601;&#1610;&#1584;%20&#1575;&#1604;&#1605;&#1608;&#1575;&#1586;&#1606;&#1577;%20&#1604;&#1594;&#1575;&#1610;&#1577;%20&#1588;&#1576;&#1575;&#1591;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ملخص الأنفاق العام مقارنه بالأعتمادات المصدقه </a:t>
            </a:r>
            <a:endParaRPr lang="en-US" sz="1200"/>
          </a:p>
        </c:rich>
      </c:tx>
      <c:layout>
        <c:manualLayout>
          <c:xMode val="edge"/>
          <c:yMode val="edge"/>
          <c:x val="0.48144414582240319"/>
          <c:y val="7.7540552209041755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918641699114417"/>
          <c:y val="5.9284561147700206E-2"/>
          <c:w val="0.83364453269867789"/>
          <c:h val="0.62552833143629816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spPr>
                <a:solidFill>
                  <a:schemeClr val="accent5">
                    <a:lumMod val="20000"/>
                    <a:lumOff val="80000"/>
                  </a:schemeClr>
                </a:solidFill>
                <a:ln>
                  <a:solidFill>
                    <a:schemeClr val="accent5">
                      <a:alpha val="98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1000" b="1"/>
                  </a:pPr>
                  <a:endParaRPr lang="ar-IQ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accent5">
                    <a:lumMod val="20000"/>
                    <a:lumOff val="80000"/>
                  </a:schemeClr>
                </a:solidFill>
                <a:ln>
                  <a:solidFill>
                    <a:schemeClr val="accent5">
                      <a:alpha val="98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1000" b="1"/>
                  </a:pPr>
                  <a:endParaRPr lang="ar-IQ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5">
                  <a:lumMod val="20000"/>
                  <a:lumOff val="80000"/>
                </a:schemeClr>
              </a:solidFill>
              <a:ln>
                <a:solidFill>
                  <a:schemeClr val="accent5">
                    <a:alpha val="98000"/>
                  </a:schemeClr>
                </a:solidFill>
              </a:ln>
            </c:spPr>
            <c:txPr>
              <a:bodyPr/>
              <a:lstStyle/>
              <a:p>
                <a:pPr>
                  <a:defRPr sz="1000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عمل'!$A$28:$A$29</c:f>
              <c:strCache>
                <c:ptCount val="2"/>
                <c:pt idx="0">
                  <c:v>الاعتمادات المصدقة</c:v>
                </c:pt>
                <c:pt idx="1">
                  <c:v>الانفاق الاجمالي (المصرف الفعلي مضافأ اليه السلف)</c:v>
                </c:pt>
              </c:strCache>
            </c:strRef>
          </c:cat>
          <c:val>
            <c:numRef>
              <c:f>'ورقه عمل'!$B$28:$B$29</c:f>
              <c:numCache>
                <c:formatCode>_-* #,##0_-;_-* #,##0\-;_-* "-"??_-;_-@_-</c:formatCode>
                <c:ptCount val="2"/>
                <c:pt idx="0">
                  <c:v>78248392</c:v>
                </c:pt>
                <c:pt idx="1">
                  <c:v>5801541.2945924206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4274304"/>
        <c:axId val="81056832"/>
        <c:axId val="0"/>
      </c:bar3DChart>
      <c:catAx>
        <c:axId val="1142743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81056832"/>
        <c:crosses val="autoZero"/>
        <c:auto val="1"/>
        <c:lblAlgn val="ctr"/>
        <c:lblOffset val="100"/>
        <c:noMultiLvlLbl val="0"/>
      </c:catAx>
      <c:valAx>
        <c:axId val="81056832"/>
        <c:scaling>
          <c:orientation val="minMax"/>
        </c:scaling>
        <c:delete val="0"/>
        <c:axPos val="l"/>
        <c:majorGridlines/>
        <c:numFmt formatCode="_-* #,##0_-;_-* #,##0\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ar-IQ"/>
          </a:p>
        </c:txPr>
        <c:crossAx val="1142743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الملخص التنفيذي للأيرادات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والمصروفات </a:t>
            </a:r>
            <a:endParaRPr lang="en-US" sz="1200"/>
          </a:p>
        </c:rich>
      </c:tx>
      <c:layout>
        <c:manualLayout>
          <c:xMode val="edge"/>
          <c:yMode val="edge"/>
          <c:x val="0.57571487079643036"/>
          <c:y val="6.0017020252381106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-8.1914890643620987E-3"/>
                  <c:y val="-3.7637473093158028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5">
                  <a:lumMod val="20000"/>
                  <a:lumOff val="80000"/>
                </a:schemeClr>
              </a:solidFill>
              <a:ln>
                <a:solidFill>
                  <a:schemeClr val="accent5">
                    <a:lumMod val="20000"/>
                    <a:lumOff val="80000"/>
                  </a:schemeClr>
                </a:solidFill>
              </a:ln>
            </c:spPr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عمل'!$A$4:$A$7</c:f>
              <c:strCache>
                <c:ptCount val="4"/>
                <c:pt idx="0">
                  <c:v>الأيرادات </c:v>
                </c:pt>
                <c:pt idx="1">
                  <c:v>المصروفات</c:v>
                </c:pt>
                <c:pt idx="2">
                  <c:v>السلف </c:v>
                </c:pt>
                <c:pt idx="3">
                  <c:v>الأنفاق الأجمالي( المصرف الفعلي مضافآ اليه السلف )</c:v>
                </c:pt>
              </c:strCache>
            </c:strRef>
          </c:cat>
          <c:val>
            <c:numRef>
              <c:f>'ورقه عمل'!$B$4:$B$7</c:f>
              <c:numCache>
                <c:formatCode>_-* #,##0_-;_-* #,##0\-;_-* "-"??_-;_-@_-</c:formatCode>
                <c:ptCount val="4"/>
                <c:pt idx="0">
                  <c:v>10134835.392163901</c:v>
                </c:pt>
                <c:pt idx="1">
                  <c:v>5491947.9259436503</c:v>
                </c:pt>
                <c:pt idx="2">
                  <c:v>309593.36864877003</c:v>
                </c:pt>
                <c:pt idx="3">
                  <c:v>5801541.2945924206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4275840"/>
        <c:axId val="81058560"/>
        <c:axId val="0"/>
      </c:bar3DChart>
      <c:catAx>
        <c:axId val="1142758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81058560"/>
        <c:crosses val="autoZero"/>
        <c:auto val="1"/>
        <c:lblAlgn val="ctr"/>
        <c:lblOffset val="100"/>
        <c:noMultiLvlLbl val="0"/>
      </c:catAx>
      <c:valAx>
        <c:axId val="81058560"/>
        <c:scaling>
          <c:orientation val="minMax"/>
        </c:scaling>
        <c:delete val="0"/>
        <c:axPos val="l"/>
        <c:majorGridlines/>
        <c:numFmt formatCode="_-* #,##0_-;_-* #,##0\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14275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الأهمية النسبية للأيرادات</a:t>
            </a:r>
            <a:endParaRPr lang="en-US" sz="1200"/>
          </a:p>
        </c:rich>
      </c:tx>
      <c:layout>
        <c:manualLayout>
          <c:xMode val="edge"/>
          <c:yMode val="edge"/>
          <c:x val="0.65411701665870203"/>
          <c:y val="6.9649953465010114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'ورقه عمل'!$B$13</c:f>
              <c:strCache>
                <c:ptCount val="1"/>
                <c:pt idx="0">
                  <c:v>الايرادات الفعلية 2012</c:v>
                </c:pt>
              </c:strCache>
            </c:strRef>
          </c:tx>
          <c:invertIfNegative val="0"/>
          <c:dLbls>
            <c:spPr>
              <a:solidFill>
                <a:schemeClr val="accent5">
                  <a:lumMod val="20000"/>
                  <a:lumOff val="80000"/>
                </a:schemeClr>
              </a:solidFill>
              <a:ln>
                <a:solidFill>
                  <a:schemeClr val="accent5">
                    <a:lumMod val="20000"/>
                    <a:lumOff val="80000"/>
                  </a:schemeClr>
                </a:solidFill>
              </a:ln>
            </c:spPr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عمل'!$A$14:$A$21</c:f>
              <c:strCache>
                <c:ptCount val="8"/>
                <c:pt idx="0">
                  <c:v>الايرادات النفطية والثروات المعدنية</c:v>
                </c:pt>
                <c:pt idx="1">
                  <c:v>الايرادات التحويلية</c:v>
                </c:pt>
                <c:pt idx="2">
                  <c:v>الضرائب على الدخول والثروات</c:v>
                </c:pt>
                <c:pt idx="3">
                  <c:v>الرسوم</c:v>
                </c:pt>
                <c:pt idx="4">
                  <c:v>الضرائب السلعية ورسوم الانتاج</c:v>
                </c:pt>
                <c:pt idx="5">
                  <c:v>ايرادات اخرى</c:v>
                </c:pt>
                <c:pt idx="6">
                  <c:v>حصة الموازنة من ارباح القطاع العام</c:v>
                </c:pt>
                <c:pt idx="7">
                  <c:v>الايرادات الرأسمالية</c:v>
                </c:pt>
              </c:strCache>
            </c:strRef>
          </c:cat>
          <c:val>
            <c:numRef>
              <c:f>'ورقه عمل'!$B$14:$B$21</c:f>
              <c:numCache>
                <c:formatCode>_-* #,##0_-;_-* #,##0\-;_-* "-"??_-;_-@_-</c:formatCode>
                <c:ptCount val="8"/>
                <c:pt idx="0">
                  <c:v>6816588.2809409006</c:v>
                </c:pt>
                <c:pt idx="1">
                  <c:v>2712253.6369251199</c:v>
                </c:pt>
                <c:pt idx="2">
                  <c:v>188306.56227114899</c:v>
                </c:pt>
                <c:pt idx="3">
                  <c:v>101269.420280848</c:v>
                </c:pt>
                <c:pt idx="4">
                  <c:v>93926.650349999996</c:v>
                </c:pt>
                <c:pt idx="5">
                  <c:v>93000.435061008</c:v>
                </c:pt>
                <c:pt idx="6">
                  <c:v>90925.024772227</c:v>
                </c:pt>
                <c:pt idx="7">
                  <c:v>38565.381562723996</c:v>
                </c:pt>
              </c:numCache>
            </c:numRef>
          </c:val>
        </c:ser>
        <c:ser>
          <c:idx val="1"/>
          <c:order val="1"/>
          <c:tx>
            <c:strRef>
              <c:f>'ورقه عمل'!$C$13</c:f>
              <c:strCache>
                <c:ptCount val="1"/>
                <c:pt idx="0">
                  <c:v>نسبة الأهمية النسبية 2012</c:v>
                </c:pt>
              </c:strCache>
            </c:strRef>
          </c:tx>
          <c:invertIfNegative val="0"/>
          <c:cat>
            <c:strRef>
              <c:f>'ورقه عمل'!$A$14:$A$21</c:f>
              <c:strCache>
                <c:ptCount val="8"/>
                <c:pt idx="0">
                  <c:v>الايرادات النفطية والثروات المعدنية</c:v>
                </c:pt>
                <c:pt idx="1">
                  <c:v>الايرادات التحويلية</c:v>
                </c:pt>
                <c:pt idx="2">
                  <c:v>الضرائب على الدخول والثروات</c:v>
                </c:pt>
                <c:pt idx="3">
                  <c:v>الرسوم</c:v>
                </c:pt>
                <c:pt idx="4">
                  <c:v>الضرائب السلعية ورسوم الانتاج</c:v>
                </c:pt>
                <c:pt idx="5">
                  <c:v>ايرادات اخرى</c:v>
                </c:pt>
                <c:pt idx="6">
                  <c:v>حصة الموازنة من ارباح القطاع العام</c:v>
                </c:pt>
                <c:pt idx="7">
                  <c:v>الايرادات الرأسمالية</c:v>
                </c:pt>
              </c:strCache>
            </c:strRef>
          </c:cat>
          <c:val>
            <c:numRef>
              <c:f>'ورقه عمل'!$C$14:$C$21</c:f>
              <c:numCache>
                <c:formatCode>0%</c:formatCode>
                <c:ptCount val="8"/>
                <c:pt idx="0">
                  <c:v>0.67258993532459166</c:v>
                </c:pt>
                <c:pt idx="1">
                  <c:v>0.26761694018456311</c:v>
                </c:pt>
                <c:pt idx="2">
                  <c:v>1.8580130311415293E-2</c:v>
                </c:pt>
                <c:pt idx="3">
                  <c:v>9.9922116504376542E-3</c:v>
                </c:pt>
                <c:pt idx="4">
                  <c:v>9.2677035901957174E-3</c:v>
                </c:pt>
                <c:pt idx="5">
                  <c:v>9.1763143122101931E-3</c:v>
                </c:pt>
                <c:pt idx="6">
                  <c:v>8.9715344407595241E-3</c:v>
                </c:pt>
                <c:pt idx="7" formatCode="0.0%">
                  <c:v>3.8052301858343116E-3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4237440"/>
        <c:axId val="84222528"/>
        <c:axId val="0"/>
      </c:bar3DChart>
      <c:catAx>
        <c:axId val="1142374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84222528"/>
        <c:crosses val="autoZero"/>
        <c:auto val="1"/>
        <c:lblAlgn val="ctr"/>
        <c:lblOffset val="100"/>
        <c:noMultiLvlLbl val="0"/>
      </c:catAx>
      <c:valAx>
        <c:axId val="84222528"/>
        <c:scaling>
          <c:orientation val="minMax"/>
        </c:scaling>
        <c:delete val="0"/>
        <c:axPos val="l"/>
        <c:majorGridlines/>
        <c:numFmt formatCode="_-* #,##0_-;_-* #,##0\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14237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الأهمية النسبية للنفقات حسب التصنيف الاقتصادي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</a:t>
            </a:r>
            <a:endParaRPr lang="ar-IQ" sz="1200"/>
          </a:p>
        </c:rich>
      </c:tx>
      <c:layout>
        <c:manualLayout>
          <c:xMode val="edge"/>
          <c:yMode val="edge"/>
          <c:x val="0.43948969822692829"/>
          <c:y val="8.6923051097168164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'ورقه عمل'!$E$37</c:f>
              <c:strCache>
                <c:ptCount val="1"/>
                <c:pt idx="0">
                  <c:v>الأهمية النسبية 2015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4728128075712706E-17"/>
                  <c:y val="-2.33602886129935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عمل'!$A$38:$A$46</c:f>
              <c:strCache>
                <c:ptCount val="9"/>
                <c:pt idx="0">
                  <c:v>  تعويضات الموظفين</c:v>
                </c:pt>
                <c:pt idx="1">
                  <c:v>  الرعاية الاجتماعية</c:v>
                </c:pt>
                <c:pt idx="2">
                  <c:v>  المنح والاعانات وخدمة الدين</c:v>
                </c:pt>
                <c:pt idx="3">
                  <c:v>  المستلزمات السلعية</c:v>
                </c:pt>
                <c:pt idx="4">
                  <c:v>  المستلزمات الخدمية</c:v>
                </c:pt>
                <c:pt idx="5">
                  <c:v>  صيانة الموجودات</c:v>
                </c:pt>
                <c:pt idx="6">
                  <c:v>  النفقات الرأسمالية</c:v>
                </c:pt>
                <c:pt idx="7">
                  <c:v>  الالتزامات والمساهمات</c:v>
                </c:pt>
                <c:pt idx="8">
                  <c:v>  البرامج الخاصة</c:v>
                </c:pt>
              </c:strCache>
            </c:strRef>
          </c:cat>
          <c:val>
            <c:numRef>
              <c:f>'ورقه عمل'!$E$38:$E$46</c:f>
              <c:numCache>
                <c:formatCode>0%</c:formatCode>
                <c:ptCount val="9"/>
                <c:pt idx="0">
                  <c:v>0.78816099351794233</c:v>
                </c:pt>
                <c:pt idx="1">
                  <c:v>0.12913651015540017</c:v>
                </c:pt>
                <c:pt idx="2">
                  <c:v>6.0956155506889251E-2</c:v>
                </c:pt>
                <c:pt idx="3">
                  <c:v>1.1859118986786304E-2</c:v>
                </c:pt>
                <c:pt idx="4">
                  <c:v>6.3128840721908058E-3</c:v>
                </c:pt>
                <c:pt idx="5" formatCode="0.0%">
                  <c:v>2.4278777391555351E-3</c:v>
                </c:pt>
                <c:pt idx="6" formatCode="0.0%">
                  <c:v>1.1464600216357921E-3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4276352"/>
        <c:axId val="84224256"/>
        <c:axId val="0"/>
      </c:bar3DChart>
      <c:catAx>
        <c:axId val="1142763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84224256"/>
        <c:crosses val="autoZero"/>
        <c:auto val="1"/>
        <c:lblAlgn val="ctr"/>
        <c:lblOffset val="100"/>
        <c:noMultiLvlLbl val="0"/>
      </c:catAx>
      <c:valAx>
        <c:axId val="842242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14276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الانفاق للنفقات حسب التصنيف الاقتصادي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</a:t>
            </a:r>
            <a:endParaRPr lang="ar-IQ" sz="1200"/>
          </a:p>
        </c:rich>
      </c:tx>
      <c:layout>
        <c:manualLayout>
          <c:xMode val="edge"/>
          <c:yMode val="edge"/>
          <c:x val="0.54157692613215769"/>
          <c:y val="9.5965573321739703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'ورقه عمل'!$D$52</c:f>
              <c:strCache>
                <c:ptCount val="1"/>
                <c:pt idx="0">
                  <c:v>نسبة الأنفاق الفعلي 2015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عمل'!$A$53:$A$61</c:f>
              <c:strCache>
                <c:ptCount val="9"/>
                <c:pt idx="0">
                  <c:v>  تعويضات الموظفين</c:v>
                </c:pt>
                <c:pt idx="1">
                  <c:v>  الرعاية الاجتماعية</c:v>
                </c:pt>
                <c:pt idx="2">
                  <c:v>  المستلزمات الخدمية</c:v>
                </c:pt>
                <c:pt idx="3">
                  <c:v>  المنح والاعانات وخدمة الدين</c:v>
                </c:pt>
                <c:pt idx="4">
                  <c:v>  صيانة الموجودات</c:v>
                </c:pt>
                <c:pt idx="5">
                  <c:v>  المستلزمات السلعية</c:v>
                </c:pt>
                <c:pt idx="6">
                  <c:v>  النفقات الرأسمالية</c:v>
                </c:pt>
                <c:pt idx="7">
                  <c:v>  الالتزامات والمساهمات</c:v>
                </c:pt>
                <c:pt idx="8">
                  <c:v>  البرامج الخاصة</c:v>
                </c:pt>
              </c:strCache>
            </c:strRef>
          </c:cat>
          <c:val>
            <c:numRef>
              <c:f>'ورقه عمل'!$D$53:$D$61</c:f>
              <c:numCache>
                <c:formatCode>0%</c:formatCode>
                <c:ptCount val="9"/>
                <c:pt idx="0">
                  <c:v>0.1122819298584887</c:v>
                </c:pt>
                <c:pt idx="1">
                  <c:v>3.6139610938124365E-2</c:v>
                </c:pt>
                <c:pt idx="2">
                  <c:v>3.5981334335514488E-2</c:v>
                </c:pt>
                <c:pt idx="3">
                  <c:v>2.7121843376615953E-2</c:v>
                </c:pt>
                <c:pt idx="4">
                  <c:v>1.8421451406292744E-2</c:v>
                </c:pt>
                <c:pt idx="5">
                  <c:v>1.3711464894952964E-2</c:v>
                </c:pt>
                <c:pt idx="6">
                  <c:v>1.2606085988007169E-2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4276864"/>
        <c:axId val="84225984"/>
        <c:axId val="0"/>
      </c:bar3DChart>
      <c:catAx>
        <c:axId val="1142768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84225984"/>
        <c:crosses val="autoZero"/>
        <c:auto val="1"/>
        <c:lblAlgn val="ctr"/>
        <c:lblOffset val="100"/>
        <c:noMultiLvlLbl val="0"/>
      </c:catAx>
      <c:valAx>
        <c:axId val="842259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14276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التنفيذ للأنفاق العام للوزارات  (الجزء الأول)</a:t>
            </a:r>
            <a:endParaRPr lang="ar-IQ" sz="1200"/>
          </a:p>
        </c:rich>
      </c:tx>
      <c:layout>
        <c:manualLayout>
          <c:xMode val="edge"/>
          <c:yMode val="edge"/>
          <c:x val="0.57445421062879931"/>
          <c:y val="5.2943957311428418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'ورقه عمل'!$G$52</c:f>
              <c:strCache>
                <c:ptCount val="1"/>
                <c:pt idx="0">
                  <c:v>نسبة التنفيذ للانفاق العام 2015</c:v>
                </c:pt>
              </c:strCache>
            </c:strRef>
          </c:tx>
          <c:invertIfNegative val="0"/>
          <c:dLbls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عمل'!$A$53:$A$68</c:f>
              <c:strCache>
                <c:ptCount val="16"/>
                <c:pt idx="0">
                  <c:v> وزارة النفط</c:v>
                </c:pt>
                <c:pt idx="1">
                  <c:v> وزارةالدفاع</c:v>
                </c:pt>
                <c:pt idx="2">
                  <c:v> وزارة التربية</c:v>
                </c:pt>
                <c:pt idx="3">
                  <c:v> وزارة العلوم والتكنولوجيا</c:v>
                </c:pt>
                <c:pt idx="4">
                  <c:v> وزارة التخطيط</c:v>
                </c:pt>
                <c:pt idx="5">
                  <c:v> وزارة العدل</c:v>
                </c:pt>
                <c:pt idx="6">
                  <c:v> وزارة التعليم العالي والبحث العلمي</c:v>
                </c:pt>
                <c:pt idx="7">
                  <c:v> وزارة حقوق الانسان</c:v>
                </c:pt>
                <c:pt idx="8">
                  <c:v> وزارة الثقافة</c:v>
                </c:pt>
                <c:pt idx="9">
                  <c:v> وزارة الموارد المائية</c:v>
                </c:pt>
                <c:pt idx="10">
                  <c:v> وزارة الصناعة والمعادن</c:v>
                </c:pt>
                <c:pt idx="11">
                  <c:v> مجلس القضاء الاعلى</c:v>
                </c:pt>
                <c:pt idx="12">
                  <c:v> وزارة الشباب والرياضة</c:v>
                </c:pt>
                <c:pt idx="13">
                  <c:v> وزارة البيئة</c:v>
                </c:pt>
                <c:pt idx="14">
                  <c:v>مجلس النواب</c:v>
                </c:pt>
                <c:pt idx="15">
                  <c:v> وزارة الداخلية</c:v>
                </c:pt>
              </c:strCache>
            </c:strRef>
          </c:cat>
          <c:val>
            <c:numRef>
              <c:f>'ورقه عمل'!$G$53:$G$68</c:f>
              <c:numCache>
                <c:formatCode>0%</c:formatCode>
                <c:ptCount val="16"/>
                <c:pt idx="0">
                  <c:v>0.46779583898543309</c:v>
                </c:pt>
                <c:pt idx="1">
                  <c:v>0.17439560536205667</c:v>
                </c:pt>
                <c:pt idx="2">
                  <c:v>0.14966507332027004</c:v>
                </c:pt>
                <c:pt idx="3">
                  <c:v>0.14819720761482813</c:v>
                </c:pt>
                <c:pt idx="4">
                  <c:v>0.14584753971316713</c:v>
                </c:pt>
                <c:pt idx="5">
                  <c:v>0.1409789511007204</c:v>
                </c:pt>
                <c:pt idx="6">
                  <c:v>0.13981278261956379</c:v>
                </c:pt>
                <c:pt idx="7">
                  <c:v>0.13708265433047589</c:v>
                </c:pt>
                <c:pt idx="8">
                  <c:v>0.1299099139427935</c:v>
                </c:pt>
                <c:pt idx="9">
                  <c:v>0.12909455905952441</c:v>
                </c:pt>
                <c:pt idx="10">
                  <c:v>0.12645170092482103</c:v>
                </c:pt>
                <c:pt idx="11">
                  <c:v>0.11888572785932926</c:v>
                </c:pt>
                <c:pt idx="12">
                  <c:v>0.11659964514277364</c:v>
                </c:pt>
                <c:pt idx="13">
                  <c:v>0.11643547777144962</c:v>
                </c:pt>
                <c:pt idx="14">
                  <c:v>0.11226282574351322</c:v>
                </c:pt>
                <c:pt idx="15">
                  <c:v>0.1121999295131562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4277376"/>
        <c:axId val="84227712"/>
        <c:axId val="0"/>
      </c:bar3DChart>
      <c:catAx>
        <c:axId val="1142773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84227712"/>
        <c:crosses val="autoZero"/>
        <c:auto val="1"/>
        <c:lblAlgn val="ctr"/>
        <c:lblOffset val="100"/>
        <c:noMultiLvlLbl val="0"/>
      </c:catAx>
      <c:valAx>
        <c:axId val="842277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14277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التنفيذ للأنفاق العام للوزارات (الجزء الثاني) </a:t>
            </a:r>
            <a:endParaRPr lang="ar-IQ" sz="1200"/>
          </a:p>
        </c:rich>
      </c:tx>
      <c:layout>
        <c:manualLayout>
          <c:xMode val="edge"/>
          <c:yMode val="edge"/>
          <c:x val="0.5929574139204723"/>
          <c:y val="3.3194712415914901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551006023178664E-2"/>
          <c:y val="8.2775900025451168E-2"/>
          <c:w val="0.93244899397682135"/>
          <c:h val="0.671311586617639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'ورقه عمل'!$G$52</c:f>
              <c:strCache>
                <c:ptCount val="1"/>
                <c:pt idx="0">
                  <c:v>نسبة التنفيذ للانفاق العام 2015</c:v>
                </c:pt>
              </c:strCache>
            </c:strRef>
          </c:tx>
          <c:invertIfNegative val="0"/>
          <c:dLbls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عمل'!$A$69:$A$85</c:f>
              <c:strCache>
                <c:ptCount val="17"/>
                <c:pt idx="0">
                  <c:v> رئاسة الجمهورية</c:v>
                </c:pt>
                <c:pt idx="1">
                  <c:v> وزارة الاتصالات</c:v>
                </c:pt>
                <c:pt idx="2">
                  <c:v>وزارة السياحة والاثار</c:v>
                </c:pt>
                <c:pt idx="3">
                  <c:v> دوائر غير مرتبطة بوزارة</c:v>
                </c:pt>
                <c:pt idx="4">
                  <c:v> مجلس الوزراء</c:v>
                </c:pt>
                <c:pt idx="5">
                  <c:v> وزارة الاعمار والاسكان</c:v>
                </c:pt>
                <c:pt idx="6">
                  <c:v> وزارة الزراعة</c:v>
                </c:pt>
                <c:pt idx="7">
                  <c:v> وزارة البلديات والاشغال</c:v>
                </c:pt>
                <c:pt idx="8">
                  <c:v> وزارة الصحة</c:v>
                </c:pt>
                <c:pt idx="9">
                  <c:v> وزارة النقل</c:v>
                </c:pt>
                <c:pt idx="10">
                  <c:v> وزارة الخارجية</c:v>
                </c:pt>
                <c:pt idx="11">
                  <c:v> وزارة المالية</c:v>
                </c:pt>
                <c:pt idx="12">
                  <c:v> وزارةالعمل والشوؤن الاجتماعية</c:v>
                </c:pt>
                <c:pt idx="13">
                  <c:v> وزارة المهجرين والمهاجرين</c:v>
                </c:pt>
                <c:pt idx="14">
                  <c:v> وزارة التجارة</c:v>
                </c:pt>
                <c:pt idx="15">
                  <c:v> وزارة الكهرباء</c:v>
                </c:pt>
                <c:pt idx="16">
                  <c:v> حكومة اقليم كردستان</c:v>
                </c:pt>
              </c:strCache>
            </c:strRef>
          </c:cat>
          <c:val>
            <c:numRef>
              <c:f>'ورقه عمل'!$G$69:$G$85</c:f>
              <c:numCache>
                <c:formatCode>0%</c:formatCode>
                <c:ptCount val="17"/>
                <c:pt idx="0">
                  <c:v>0.10743142706302021</c:v>
                </c:pt>
                <c:pt idx="1">
                  <c:v>0.10524134514773226</c:v>
                </c:pt>
                <c:pt idx="2">
                  <c:v>0.10488829684696832</c:v>
                </c:pt>
                <c:pt idx="3">
                  <c:v>0.10295713006399661</c:v>
                </c:pt>
                <c:pt idx="4">
                  <c:v>8.7179656882014289E-2</c:v>
                </c:pt>
                <c:pt idx="5">
                  <c:v>8.4004744713252658E-2</c:v>
                </c:pt>
                <c:pt idx="6">
                  <c:v>7.853143469323233E-2</c:v>
                </c:pt>
                <c:pt idx="7">
                  <c:v>7.55024906109584E-2</c:v>
                </c:pt>
                <c:pt idx="8">
                  <c:v>7.3032757677671478E-2</c:v>
                </c:pt>
                <c:pt idx="9">
                  <c:v>6.3243480415150322E-2</c:v>
                </c:pt>
                <c:pt idx="10">
                  <c:v>6.2884842607744379E-2</c:v>
                </c:pt>
                <c:pt idx="11">
                  <c:v>2.6655720111929512E-2</c:v>
                </c:pt>
                <c:pt idx="12">
                  <c:v>1.3023567500053306E-2</c:v>
                </c:pt>
                <c:pt idx="13">
                  <c:v>7.997759477387666E-3</c:v>
                </c:pt>
                <c:pt idx="14" formatCode="0.0%">
                  <c:v>2.1409418306001546E-3</c:v>
                </c:pt>
                <c:pt idx="15" formatCode="0.0%">
                  <c:v>1.8260689804603593E-3</c:v>
                </c:pt>
                <c:pt idx="16" formatCode="0.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4277888"/>
        <c:axId val="115064832"/>
        <c:axId val="0"/>
      </c:bar3DChart>
      <c:catAx>
        <c:axId val="1142778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15064832"/>
        <c:crosses val="autoZero"/>
        <c:auto val="1"/>
        <c:lblAlgn val="ctr"/>
        <c:lblOffset val="100"/>
        <c:noMultiLvlLbl val="0"/>
      </c:catAx>
      <c:valAx>
        <c:axId val="1150648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14277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36e90f3-28f6-43a2-9886-69104c66b47c">VMCDCHTSR4DK-1797567310-1540</_dlc_DocId>
    <_dlc_DocIdUrl xmlns="536e90f3-28f6-43a2-9886-69104c66b47c">
      <Url>http://cms-mof/_layouts/DocIdRedir.aspx?ID=VMCDCHTSR4DK-1797567310-1540</Url>
      <Description>VMCDCHTSR4DK-1797567310-1540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B02D1D686404192CB572C2CAAAC32" ma:contentTypeVersion="1" ma:contentTypeDescription="Create a new document." ma:contentTypeScope="" ma:versionID="5e995d3125130d9e15c15229215499c8">
  <xsd:schema xmlns:xsd="http://www.w3.org/2001/XMLSchema" xmlns:xs="http://www.w3.org/2001/XMLSchema" xmlns:p="http://schemas.microsoft.com/office/2006/metadata/properties" xmlns:ns1="http://schemas.microsoft.com/sharepoint/v3" xmlns:ns2="536e90f3-28f6-43a2-9886-69104c66b47c" targetNamespace="http://schemas.microsoft.com/office/2006/metadata/properties" ma:root="true" ma:fieldsID="55da2c33495ab5c7a95f6366e55b278d" ns1:_="" ns2:_="">
    <xsd:import namespace="http://schemas.microsoft.com/sharepoint/v3"/>
    <xsd:import namespace="536e90f3-28f6-43a2-9886-69104c66b47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e90f3-28f6-43a2-9886-69104c66b47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F37A3C-3208-4A50-BC15-6977355C1C6F}"/>
</file>

<file path=customXml/itemProps2.xml><?xml version="1.0" encoding="utf-8"?>
<ds:datastoreItem xmlns:ds="http://schemas.openxmlformats.org/officeDocument/2006/customXml" ds:itemID="{B8531CB4-3B1A-46CC-A24F-8282A5D41296}"/>
</file>

<file path=customXml/itemProps3.xml><?xml version="1.0" encoding="utf-8"?>
<ds:datastoreItem xmlns:ds="http://schemas.openxmlformats.org/officeDocument/2006/customXml" ds:itemID="{1D5CB86E-790C-4449-B871-61957B4D2EB9}"/>
</file>

<file path=customXml/itemProps4.xml><?xml version="1.0" encoding="utf-8"?>
<ds:datastoreItem xmlns:ds="http://schemas.openxmlformats.org/officeDocument/2006/customXml" ds:itemID="{7358E442-810E-469D-922A-0D966DCB57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9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DR.Ahmed Saker 2o1O</dc:creator>
  <cp:lastModifiedBy>DR.Ahmed Saker 2o1O</cp:lastModifiedBy>
  <cp:revision>27</cp:revision>
  <cp:lastPrinted>2015-05-18T05:51:00Z</cp:lastPrinted>
  <dcterms:created xsi:type="dcterms:W3CDTF">2015-04-22T08:31:00Z</dcterms:created>
  <dcterms:modified xsi:type="dcterms:W3CDTF">2015-05-20T08:24:00Z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0x0101007CFB02D1D686404192CB572C2CAAAC32</vt:lpwstr>
  </property>
  <property fmtid="{D5CDD505-2E9C-101B-9397-08002B2CF9AE}" pid="4" name="_dlc_DocIdItemGuid">
    <vt:lpwstr>42a5db7f-34da-4129-b4ea-db445ffda633</vt:lpwstr>
  </property>
</Properties>
</file>