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9D" w:rsidRDefault="00DF71BD" w:rsidP="00ED580C">
      <w:pPr>
        <w:jc w:val="right"/>
        <w:rPr>
          <w:rFonts w:ascii="Andalus" w:hAnsi="Andalus" w:cs="Andalus"/>
          <w:b/>
          <w:bCs/>
          <w:color w:val="548DD4" w:themeColor="text2" w:themeTint="99"/>
          <w:lang w:bidi="ar-IQ"/>
        </w:rPr>
      </w:pPr>
      <w:r w:rsidRPr="00053C87">
        <w:rPr>
          <w:rFonts w:ascii="Andalus" w:hAnsi="Andalus" w:cs="Andalus"/>
          <w:b/>
          <w:bCs/>
          <w:color w:val="548DD4" w:themeColor="text2" w:themeTint="99"/>
          <w:sz w:val="48"/>
          <w:szCs w:val="48"/>
          <w:rtl/>
          <w:lang w:bidi="ar-IQ"/>
        </w:rPr>
        <w:t xml:space="preserve">تقرير تنفيذ الموازنة لغاية </w:t>
      </w:r>
      <w:r w:rsidR="00ED580C">
        <w:rPr>
          <w:rFonts w:ascii="Andalus" w:hAnsi="Andalus" w:cs="Andalus" w:hint="cs"/>
          <w:b/>
          <w:bCs/>
          <w:color w:val="548DD4" w:themeColor="text2" w:themeTint="99"/>
          <w:sz w:val="48"/>
          <w:szCs w:val="48"/>
          <w:rtl/>
          <w:lang w:bidi="ar-IQ"/>
        </w:rPr>
        <w:t>آب</w:t>
      </w:r>
      <w:r w:rsidRPr="00053C87">
        <w:rPr>
          <w:rFonts w:ascii="Andalus" w:hAnsi="Andalus" w:cs="Andalus"/>
          <w:b/>
          <w:bCs/>
          <w:color w:val="548DD4" w:themeColor="text2" w:themeTint="99"/>
          <w:sz w:val="48"/>
          <w:szCs w:val="48"/>
          <w:rtl/>
          <w:lang w:bidi="ar-IQ"/>
        </w:rPr>
        <w:t xml:space="preserve"> 2016 للموازنة الجارية         </w:t>
      </w:r>
      <w:r w:rsidRPr="00053C87">
        <w:rPr>
          <w:rFonts w:ascii="Andalus" w:hAnsi="Andalus" w:cs="Andalus"/>
          <w:b/>
          <w:bCs/>
          <w:color w:val="548DD4" w:themeColor="text2" w:themeTint="99"/>
          <w:rtl/>
          <w:lang w:bidi="ar-IQ"/>
        </w:rPr>
        <w:t>(المبالغ بالمليون)</w:t>
      </w:r>
    </w:p>
    <w:tbl>
      <w:tblPr>
        <w:tblpPr w:leftFromText="180" w:rightFromText="180" w:vertAnchor="text" w:tblpXSpec="right" w:tblpY="1"/>
        <w:tblOverlap w:val="never"/>
        <w:bidiVisual/>
        <w:tblW w:w="5900" w:type="dxa"/>
        <w:tblLook w:val="04A0" w:firstRow="1" w:lastRow="0" w:firstColumn="1" w:lastColumn="0" w:noHBand="0" w:noVBand="1"/>
      </w:tblPr>
      <w:tblGrid>
        <w:gridCol w:w="4260"/>
        <w:gridCol w:w="1640"/>
      </w:tblGrid>
      <w:tr w:rsidR="00745E82" w:rsidRPr="00745E82" w:rsidTr="00745E82">
        <w:trPr>
          <w:trHeight w:val="300"/>
        </w:trPr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ملخص الانفاق العام</w:t>
            </w:r>
          </w:p>
        </w:tc>
      </w:tr>
      <w:tr w:rsidR="00745E82" w:rsidRPr="00745E82" w:rsidTr="00745E82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التفاصيل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المبالغ</w:t>
            </w:r>
          </w:p>
        </w:tc>
      </w:tr>
      <w:tr w:rsidR="00745E82" w:rsidRPr="00745E82" w:rsidTr="00745E82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45E82" w:rsidRPr="00745E82" w:rsidRDefault="00745E82" w:rsidP="00745E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الاعتمادات المصدقة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80,149,411</w:t>
            </w:r>
          </w:p>
        </w:tc>
      </w:tr>
      <w:tr w:rsidR="00745E82" w:rsidRPr="00745E82" w:rsidTr="00745E82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الانفاق الاجمالي (المصرف الفعلي مضافأ اليه السلف)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36,359,496</w:t>
            </w:r>
          </w:p>
        </w:tc>
      </w:tr>
    </w:tbl>
    <w:p w:rsidR="00745E82" w:rsidRDefault="00745E82" w:rsidP="00745E82">
      <w:pPr>
        <w:rPr>
          <w:rFonts w:ascii="Andalus" w:hAnsi="Andalus" w:cs="Andalus"/>
          <w:b/>
          <w:bCs/>
          <w:color w:val="548DD4" w:themeColor="text2" w:themeTint="99"/>
          <w:lang w:bidi="ar-IQ"/>
        </w:rPr>
      </w:pPr>
    </w:p>
    <w:p w:rsidR="00745E82" w:rsidRDefault="00745E82" w:rsidP="00745E82">
      <w:pPr>
        <w:rPr>
          <w:rFonts w:ascii="Andalus" w:hAnsi="Andalus" w:cs="Andalus"/>
          <w:b/>
          <w:bCs/>
          <w:color w:val="548DD4" w:themeColor="text2" w:themeTint="99"/>
          <w:lang w:bidi="ar-IQ"/>
        </w:rPr>
      </w:pPr>
    </w:p>
    <w:p w:rsidR="00745E82" w:rsidRDefault="00745E82" w:rsidP="00745E82">
      <w:pPr>
        <w:rPr>
          <w:rFonts w:ascii="Andalus" w:hAnsi="Andalus" w:cs="Andalus"/>
          <w:b/>
          <w:bCs/>
          <w:color w:val="548DD4" w:themeColor="text2" w:themeTint="99"/>
          <w:lang w:bidi="ar-IQ"/>
        </w:rPr>
      </w:pPr>
    </w:p>
    <w:p w:rsidR="00745E82" w:rsidRDefault="00745E82" w:rsidP="00745E82">
      <w:pPr>
        <w:rPr>
          <w:rFonts w:ascii="Andalus" w:hAnsi="Andalus" w:cs="Andalus"/>
          <w:b/>
          <w:bCs/>
          <w:color w:val="548DD4" w:themeColor="text2" w:themeTint="99"/>
          <w:lang w:bidi="ar-IQ"/>
        </w:rPr>
      </w:pPr>
      <w:r>
        <w:rPr>
          <w:noProof/>
          <w:lang w:val="en-GB" w:eastAsia="en-GB"/>
        </w:rPr>
        <w:drawing>
          <wp:inline distT="0" distB="0" distL="0" distR="0" wp14:anchorId="7D4525B6" wp14:editId="0342084E">
            <wp:extent cx="8086725" cy="39814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Andalus" w:hAnsi="Andalus" w:cs="Andalus"/>
          <w:b/>
          <w:bCs/>
          <w:color w:val="548DD4" w:themeColor="text2" w:themeTint="99"/>
          <w:rtl/>
          <w:lang w:bidi="ar-IQ"/>
        </w:rPr>
        <w:br w:type="textWrapping" w:clear="all"/>
      </w:r>
    </w:p>
    <w:p w:rsidR="00745E82" w:rsidRDefault="00745E82" w:rsidP="00745E82">
      <w:pPr>
        <w:rPr>
          <w:rFonts w:ascii="Andalus" w:hAnsi="Andalus" w:cs="Andalus"/>
          <w:b/>
          <w:bCs/>
          <w:color w:val="548DD4" w:themeColor="text2" w:themeTint="99"/>
          <w:lang w:bidi="ar-IQ"/>
        </w:rPr>
      </w:pPr>
    </w:p>
    <w:tbl>
      <w:tblPr>
        <w:bidiVisual/>
        <w:tblW w:w="5900" w:type="dxa"/>
        <w:tblInd w:w="93" w:type="dxa"/>
        <w:tblLook w:val="04A0" w:firstRow="1" w:lastRow="0" w:firstColumn="1" w:lastColumn="0" w:noHBand="0" w:noVBand="1"/>
      </w:tblPr>
      <w:tblGrid>
        <w:gridCol w:w="4128"/>
        <w:gridCol w:w="1772"/>
      </w:tblGrid>
      <w:tr w:rsidR="00745E82" w:rsidRPr="00745E82" w:rsidTr="00745E82">
        <w:trPr>
          <w:trHeight w:val="300"/>
        </w:trPr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الملخص التنفيذي للأيرادات والمصروفات </w:t>
            </w:r>
          </w:p>
        </w:tc>
      </w:tr>
      <w:tr w:rsidR="00745E82" w:rsidRPr="00745E82" w:rsidTr="00745E8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التفاصيل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المبالغ</w:t>
            </w:r>
          </w:p>
        </w:tc>
      </w:tr>
      <w:tr w:rsidR="00745E82" w:rsidRPr="00745E82" w:rsidTr="00745E8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الأيرادات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32,565,007</w:t>
            </w:r>
          </w:p>
        </w:tc>
      </w:tr>
      <w:tr w:rsidR="00745E82" w:rsidRPr="00745E82" w:rsidTr="00745E8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المصروفات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32,648,468</w:t>
            </w:r>
          </w:p>
        </w:tc>
      </w:tr>
      <w:tr w:rsidR="00745E82" w:rsidRPr="00745E82" w:rsidTr="00745E8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السلف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3,711,028</w:t>
            </w:r>
          </w:p>
        </w:tc>
      </w:tr>
      <w:tr w:rsidR="00745E82" w:rsidRPr="00745E82" w:rsidTr="00745E82">
        <w:trPr>
          <w:trHeight w:val="300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الأنفاق الأجمالي( المصرف الفعلي مضافآ اليه السلف 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36,359,496</w:t>
            </w:r>
          </w:p>
        </w:tc>
      </w:tr>
    </w:tbl>
    <w:p w:rsidR="00745E82" w:rsidRDefault="00745E82" w:rsidP="00745E82">
      <w:pPr>
        <w:rPr>
          <w:rFonts w:ascii="Andalus" w:hAnsi="Andalus" w:cs="Andalus"/>
          <w:b/>
          <w:bCs/>
          <w:color w:val="548DD4" w:themeColor="text2" w:themeTint="99"/>
          <w:lang w:bidi="ar-IQ"/>
        </w:rPr>
      </w:pPr>
    </w:p>
    <w:p w:rsidR="00745E82" w:rsidRPr="00053C87" w:rsidRDefault="00745E82" w:rsidP="00745E82">
      <w:pPr>
        <w:rPr>
          <w:rFonts w:ascii="Andalus" w:hAnsi="Andalus" w:cs="Andalus"/>
          <w:b/>
          <w:bCs/>
          <w:color w:val="548DD4" w:themeColor="text2" w:themeTint="99"/>
          <w:rtl/>
          <w:lang w:bidi="ar-IQ"/>
        </w:rPr>
      </w:pPr>
      <w:r>
        <w:rPr>
          <w:noProof/>
          <w:lang w:val="en-GB" w:eastAsia="en-GB"/>
        </w:rPr>
        <w:drawing>
          <wp:inline distT="0" distB="0" distL="0" distR="0" wp14:anchorId="4826403F" wp14:editId="479ACE72">
            <wp:extent cx="8077200" cy="39814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71BD" w:rsidRDefault="00DF71BD">
      <w:pPr>
        <w:rPr>
          <w:b/>
          <w:bCs/>
          <w:sz w:val="32"/>
          <w:szCs w:val="32"/>
          <w:rtl/>
          <w:lang w:bidi="ar-IQ"/>
        </w:rPr>
      </w:pPr>
    </w:p>
    <w:p w:rsidR="00DF71BD" w:rsidRDefault="00DF71BD">
      <w:pPr>
        <w:rPr>
          <w:b/>
          <w:bCs/>
          <w:sz w:val="32"/>
          <w:szCs w:val="32"/>
          <w:lang w:bidi="ar-IQ"/>
        </w:rPr>
      </w:pPr>
    </w:p>
    <w:tbl>
      <w:tblPr>
        <w:tblpPr w:leftFromText="180" w:rightFromText="180" w:vertAnchor="text" w:tblpXSpec="right" w:tblpY="1"/>
        <w:tblOverlap w:val="never"/>
        <w:bidiVisual/>
        <w:tblW w:w="7340" w:type="dxa"/>
        <w:tblLook w:val="04A0" w:firstRow="1" w:lastRow="0" w:firstColumn="1" w:lastColumn="0" w:noHBand="0" w:noVBand="1"/>
      </w:tblPr>
      <w:tblGrid>
        <w:gridCol w:w="3897"/>
        <w:gridCol w:w="2101"/>
        <w:gridCol w:w="1342"/>
      </w:tblGrid>
      <w:tr w:rsidR="00A371B5" w:rsidRPr="00745E82" w:rsidTr="00745E82">
        <w:trPr>
          <w:trHeight w:val="137"/>
        </w:trPr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  <w:lang w:val="en-GB" w:eastAsia="en-GB" w:bidi="ar-IQ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  <w:lang w:val="en-GB" w:eastAsia="en-GB" w:bidi="ar-IQ"/>
              </w:rPr>
              <w:t>جدول بالإيرادات حسب تصنيفها</w:t>
            </w:r>
          </w:p>
        </w:tc>
      </w:tr>
      <w:tr w:rsidR="00745E82" w:rsidRPr="00745E82" w:rsidTr="00745E82">
        <w:trPr>
          <w:trHeight w:val="137"/>
        </w:trPr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Arial" w:eastAsia="Times New Roman" w:hAnsi="Arial" w:cs="Arial"/>
                <w:b/>
                <w:bCs/>
                <w:color w:val="000000"/>
                <w:rtl/>
                <w:lang w:val="en-GB" w:eastAsia="en-GB"/>
              </w:rPr>
              <w:t xml:space="preserve">الأيرادات مفروزة حسب نسبة الأهمية النسبية </w:t>
            </w:r>
          </w:p>
        </w:tc>
      </w:tr>
      <w:tr w:rsidR="00745E82" w:rsidRPr="00745E82" w:rsidTr="00745E82">
        <w:trPr>
          <w:trHeight w:val="297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Arial" w:eastAsia="Times New Roman" w:hAnsi="Arial" w:cs="Arial"/>
                <w:b/>
                <w:bCs/>
                <w:color w:val="000000"/>
                <w:rtl/>
                <w:lang w:val="en-GB" w:eastAsia="en-GB"/>
              </w:rPr>
              <w:t>الأعـــــــــــــــداد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Arial" w:eastAsia="Times New Roman" w:hAnsi="Arial" w:cs="Arial"/>
                <w:b/>
                <w:bCs/>
                <w:color w:val="000000"/>
                <w:rtl/>
                <w:lang w:val="en-GB" w:eastAsia="en-GB"/>
              </w:rPr>
              <w:t xml:space="preserve">الايرادات الفعلية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Arial" w:eastAsia="Times New Roman" w:hAnsi="Arial" w:cs="Arial"/>
                <w:b/>
                <w:bCs/>
                <w:color w:val="000000"/>
                <w:rtl/>
                <w:lang w:val="en-GB" w:eastAsia="en-GB"/>
              </w:rPr>
              <w:t xml:space="preserve">نسبة الأهمية النسبية </w:t>
            </w:r>
          </w:p>
        </w:tc>
      </w:tr>
      <w:tr w:rsidR="00745E82" w:rsidRPr="00745E82" w:rsidTr="00745E82">
        <w:trPr>
          <w:trHeight w:val="205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الايرادات النفطية والثروات المعدنية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26,865,821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82%</w:t>
            </w:r>
          </w:p>
        </w:tc>
      </w:tr>
      <w:tr w:rsidR="00745E82" w:rsidRPr="00745E82" w:rsidTr="00745E82">
        <w:trPr>
          <w:trHeight w:val="223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الايرادات التحويلية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2,041,180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6%</w:t>
            </w:r>
          </w:p>
        </w:tc>
      </w:tr>
      <w:tr w:rsidR="00745E82" w:rsidRPr="00745E82" w:rsidTr="00745E82">
        <w:trPr>
          <w:trHeight w:val="213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الضرائب على الدخول والثروات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1,571,380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5%</w:t>
            </w:r>
          </w:p>
        </w:tc>
      </w:tr>
      <w:tr w:rsidR="00745E82" w:rsidRPr="00745E82" w:rsidTr="00745E82">
        <w:trPr>
          <w:trHeight w:val="23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ايرادات اخرى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979,306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3%</w:t>
            </w:r>
          </w:p>
        </w:tc>
      </w:tr>
      <w:tr w:rsidR="00745E82" w:rsidRPr="00745E82" w:rsidTr="00745E82">
        <w:trPr>
          <w:trHeight w:val="22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الرسوم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413,170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1%</w:t>
            </w:r>
          </w:p>
        </w:tc>
      </w:tr>
      <w:tr w:rsidR="00745E82" w:rsidRPr="00745E82" w:rsidTr="00745E82">
        <w:trPr>
          <w:trHeight w:val="96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الضرائب السلعية ورسوم الانتاج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390,756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1%</w:t>
            </w:r>
          </w:p>
        </w:tc>
      </w:tr>
      <w:tr w:rsidR="00745E82" w:rsidRPr="00745E82" w:rsidTr="00745E82">
        <w:trPr>
          <w:trHeight w:val="10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حصة الموازنة من ارباح القطاع العام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278,207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1%</w:t>
            </w:r>
          </w:p>
        </w:tc>
      </w:tr>
      <w:tr w:rsidR="00745E82" w:rsidRPr="00745E82" w:rsidTr="00745E82">
        <w:trPr>
          <w:trHeight w:val="7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الايرادات الرأسمالية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25,188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0.1%</w:t>
            </w:r>
          </w:p>
        </w:tc>
      </w:tr>
      <w:tr w:rsidR="00745E82" w:rsidRPr="00745E82" w:rsidTr="00745E82">
        <w:trPr>
          <w:trHeight w:val="70"/>
        </w:trPr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المجموع العام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32,565,007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45E82" w:rsidRPr="00745E82" w:rsidRDefault="00745E82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</w:tbl>
    <w:p w:rsidR="00745E82" w:rsidRDefault="00745E82">
      <w:pPr>
        <w:rPr>
          <w:b/>
          <w:bCs/>
          <w:sz w:val="32"/>
          <w:szCs w:val="32"/>
          <w:lang w:bidi="ar-IQ"/>
        </w:rPr>
      </w:pPr>
    </w:p>
    <w:p w:rsidR="00745E82" w:rsidRDefault="00745E82">
      <w:pPr>
        <w:rPr>
          <w:b/>
          <w:bCs/>
          <w:sz w:val="32"/>
          <w:szCs w:val="32"/>
          <w:lang w:bidi="ar-IQ"/>
        </w:rPr>
      </w:pPr>
    </w:p>
    <w:p w:rsidR="00745E82" w:rsidRDefault="00745E82">
      <w:pPr>
        <w:rPr>
          <w:b/>
          <w:bCs/>
          <w:sz w:val="32"/>
          <w:szCs w:val="32"/>
          <w:lang w:bidi="ar-IQ"/>
        </w:rPr>
      </w:pPr>
    </w:p>
    <w:p w:rsidR="00745E82" w:rsidRDefault="00745E82">
      <w:pPr>
        <w:rPr>
          <w:b/>
          <w:bCs/>
          <w:sz w:val="32"/>
          <w:szCs w:val="32"/>
          <w:lang w:bidi="ar-IQ"/>
        </w:rPr>
      </w:pPr>
    </w:p>
    <w:p w:rsidR="00745E82" w:rsidRDefault="00745E82">
      <w:pPr>
        <w:rPr>
          <w:b/>
          <w:bCs/>
          <w:sz w:val="32"/>
          <w:szCs w:val="32"/>
          <w:lang w:bidi="ar-IQ"/>
        </w:rPr>
      </w:pPr>
    </w:p>
    <w:p w:rsidR="00745E82" w:rsidRDefault="00745E82">
      <w:pPr>
        <w:rPr>
          <w:b/>
          <w:bCs/>
          <w:sz w:val="32"/>
          <w:szCs w:val="32"/>
          <w:lang w:bidi="ar-IQ"/>
        </w:rPr>
      </w:pPr>
    </w:p>
    <w:p w:rsidR="00745E82" w:rsidRDefault="00745E82">
      <w:pPr>
        <w:rPr>
          <w:b/>
          <w:bCs/>
          <w:sz w:val="32"/>
          <w:szCs w:val="32"/>
          <w:lang w:bidi="ar-IQ"/>
        </w:rPr>
      </w:pPr>
      <w:r>
        <w:rPr>
          <w:noProof/>
          <w:lang w:val="en-GB" w:eastAsia="en-GB"/>
        </w:rPr>
        <w:drawing>
          <wp:inline distT="0" distB="0" distL="0" distR="0" wp14:anchorId="15AD4F51" wp14:editId="5117D997">
            <wp:extent cx="8077200" cy="30765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E82" w:rsidRDefault="00745E82">
      <w:pPr>
        <w:rPr>
          <w:b/>
          <w:bCs/>
          <w:sz w:val="32"/>
          <w:szCs w:val="32"/>
          <w:lang w:bidi="ar-IQ"/>
        </w:rPr>
      </w:pPr>
    </w:p>
    <w:tbl>
      <w:tblPr>
        <w:bidiVisual/>
        <w:tblW w:w="7513" w:type="dxa"/>
        <w:tblInd w:w="107" w:type="dxa"/>
        <w:tblLook w:val="04A0" w:firstRow="1" w:lastRow="0" w:firstColumn="1" w:lastColumn="0" w:noHBand="0" w:noVBand="1"/>
      </w:tblPr>
      <w:tblGrid>
        <w:gridCol w:w="3544"/>
        <w:gridCol w:w="1222"/>
        <w:gridCol w:w="1346"/>
        <w:gridCol w:w="1401"/>
      </w:tblGrid>
      <w:tr w:rsidR="00745E82" w:rsidRPr="00745E82" w:rsidTr="00A371B5">
        <w:trPr>
          <w:trHeight w:val="26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جدول يوضح نسبة التنفيذ للمصروفات حسب التصنيف الإقتصادي</w:t>
            </w:r>
          </w:p>
        </w:tc>
      </w:tr>
      <w:tr w:rsidR="00745E82" w:rsidRPr="00745E82" w:rsidTr="00A371B5">
        <w:trPr>
          <w:trHeight w:val="26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hideMark/>
          </w:tcPr>
          <w:p w:rsidR="00745E82" w:rsidRPr="00745E82" w:rsidRDefault="00745E82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المصروفات مفروزة حسب نسبه التنفيذ</w:t>
            </w:r>
          </w:p>
        </w:tc>
      </w:tr>
      <w:tr w:rsidR="00A371B5" w:rsidRPr="00745E82" w:rsidTr="00A371B5">
        <w:trPr>
          <w:trHeight w:val="2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الفصول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المصدق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الأنفاق الفعلي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نسبة التنفيذ</w:t>
            </w:r>
          </w:p>
        </w:tc>
      </w:tr>
      <w:tr w:rsidR="00A371B5" w:rsidRPr="00745E82" w:rsidTr="00A371B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تعويضات الموظفين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39,145,464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20,688,439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53%</w:t>
            </w:r>
          </w:p>
        </w:tc>
      </w:tr>
      <w:tr w:rsidR="00A371B5" w:rsidRPr="00745E82" w:rsidTr="00A371B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الرعاية الاجتماعية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17,703,772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6,918,371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39%</w:t>
            </w:r>
          </w:p>
        </w:tc>
      </w:tr>
      <w:tr w:rsidR="00A371B5" w:rsidRPr="00745E82" w:rsidTr="00A371B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صيانة الموجودات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521,043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167,412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32%</w:t>
            </w:r>
          </w:p>
        </w:tc>
      </w:tr>
      <w:tr w:rsidR="00A371B5" w:rsidRPr="00745E82" w:rsidTr="00A371B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الالتزامات والمساهمات والمساعدات الخارجيه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700,926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203,320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29%</w:t>
            </w:r>
          </w:p>
        </w:tc>
      </w:tr>
      <w:tr w:rsidR="00A371B5" w:rsidRPr="00745E82" w:rsidTr="00A371B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المنح والاعانات وخدمة الدين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14,518,969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3,725,695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26%</w:t>
            </w:r>
          </w:p>
        </w:tc>
      </w:tr>
      <w:tr w:rsidR="00A371B5" w:rsidRPr="00745E82" w:rsidTr="00A371B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المستلزمات الخدمية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2,126,621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396,641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19%</w:t>
            </w:r>
          </w:p>
        </w:tc>
      </w:tr>
      <w:tr w:rsidR="00A371B5" w:rsidRPr="00745E82" w:rsidTr="00A371B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النفقات الرأسمالية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269,694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45,373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17%</w:t>
            </w:r>
          </w:p>
        </w:tc>
      </w:tr>
      <w:tr w:rsidR="00A371B5" w:rsidRPr="00745E82" w:rsidTr="00A371B5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المستلزمات السلعية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4,505,690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483,346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11%</w:t>
            </w:r>
          </w:p>
        </w:tc>
      </w:tr>
      <w:tr w:rsidR="00A371B5" w:rsidRPr="00745E82" w:rsidTr="00A371B5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البرامج الخاصة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657,231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19,870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3%</w:t>
            </w:r>
          </w:p>
        </w:tc>
      </w:tr>
      <w:tr w:rsidR="00A371B5" w:rsidRPr="00745E82" w:rsidTr="00A371B5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المجموع العام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80,149,411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32,648,468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371B5" w:rsidRPr="00745E82" w:rsidRDefault="00A371B5" w:rsidP="00745E82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45E82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41%</w:t>
            </w:r>
          </w:p>
        </w:tc>
      </w:tr>
    </w:tbl>
    <w:p w:rsidR="00053C87" w:rsidRDefault="00745E82" w:rsidP="00745E82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br w:type="textWrapping" w:clear="all"/>
      </w:r>
      <w:r>
        <w:rPr>
          <w:noProof/>
          <w:lang w:val="en-GB" w:eastAsia="en-GB"/>
        </w:rPr>
        <w:drawing>
          <wp:inline distT="0" distB="0" distL="0" distR="0" wp14:anchorId="3335654E" wp14:editId="70434348">
            <wp:extent cx="8086725" cy="30099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6B76" w:rsidRDefault="00966B76" w:rsidP="00745E82">
      <w:pPr>
        <w:rPr>
          <w:b/>
          <w:bCs/>
          <w:sz w:val="32"/>
          <w:szCs w:val="32"/>
          <w:lang w:bidi="ar-IQ"/>
        </w:rPr>
      </w:pPr>
    </w:p>
    <w:tbl>
      <w:tblPr>
        <w:bidiVisual/>
        <w:tblW w:w="13056" w:type="dxa"/>
        <w:tblInd w:w="93" w:type="dxa"/>
        <w:tblLook w:val="04A0" w:firstRow="1" w:lastRow="0" w:firstColumn="1" w:lastColumn="0" w:noHBand="0" w:noVBand="1"/>
      </w:tblPr>
      <w:tblGrid>
        <w:gridCol w:w="3133"/>
        <w:gridCol w:w="1842"/>
        <w:gridCol w:w="1701"/>
        <w:gridCol w:w="1701"/>
        <w:gridCol w:w="1701"/>
        <w:gridCol w:w="1418"/>
        <w:gridCol w:w="1560"/>
      </w:tblGrid>
      <w:tr w:rsidR="00421A27" w:rsidRPr="00421A27" w:rsidTr="00421A27">
        <w:trPr>
          <w:trHeight w:val="525"/>
        </w:trPr>
        <w:tc>
          <w:tcPr>
            <w:tcW w:w="13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ملخص تنفيذ الموازنه حسب التصنيف الأداري مع أرصدة السلف  </w:t>
            </w:r>
            <w:r w:rsidR="00A371B5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(الجزء الأول)</w:t>
            </w:r>
          </w:p>
        </w:tc>
      </w:tr>
      <w:tr w:rsidR="00421A27" w:rsidRPr="00421A27" w:rsidTr="00421A27">
        <w:trPr>
          <w:trHeight w:val="6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21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val="en-GB" w:eastAsia="en-GB"/>
              </w:rPr>
              <w:t>اسماء الوزارات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المصدق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الأنفاق الفعلي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أرصدة السلف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الأنفاق الأجمالي (فعلي+ سلف )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نسبة التنفيذ للنفقات الفعليه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نسبة التنفيذ للانفاق العام 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وزارةالدفاع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6,181,886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3,839,355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1,024,555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4,863,910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62%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79%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الداخلية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9,976,297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6,485,420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-32,637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6,452,783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65%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65%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التربية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7,712,985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4,783,499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6,320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4,789,819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62%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62%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الشباب والرياضة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104,261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59,907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60,537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57%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58%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الصناعة والمعادن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1,076,710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622,418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190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622,608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58%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58%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مجلس النواب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429,207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237,541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8,112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245,653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55%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57%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مجلس القضاء الاعلى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452,131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246,627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995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247,622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55%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55%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العدل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597,434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326,535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327,045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55%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55%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الكهرباء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1,958,962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601,674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449,756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1,051,431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31%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54%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الموارد المائية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265,121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141,554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-259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141,295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53%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53%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التعليم العالي والبحث العلمي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2,792,270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1,397,403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75,687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1,473,089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50%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53%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مجلس الوزراء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3,192,642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1,416,437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258,381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1,674,818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44%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52%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الثقافة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171,612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72,607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12,018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84,625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42%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49%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دوائر غير مرتبطة بوزارة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905,912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386,380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52,964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439,344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43%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48%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المالية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17,764,879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8,108,076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290,725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8,398,801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46%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47%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الصحة والبيئة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4,980,837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1,930,233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424,435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2,354,668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39%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47%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النقل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196,365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89,916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842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90,758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46%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46%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رئاسة الجمهورية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59,163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27,198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-178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27,020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46%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46%</w:t>
            </w:r>
          </w:p>
        </w:tc>
      </w:tr>
      <w:tr w:rsidR="00421A27" w:rsidRPr="00421A27" w:rsidTr="00421A27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الاعمار والاسكان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1,006,481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416,968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28,547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445,514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41%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44%</w:t>
            </w:r>
          </w:p>
        </w:tc>
      </w:tr>
    </w:tbl>
    <w:p w:rsidR="00C6341E" w:rsidRDefault="00C6341E">
      <w:pPr>
        <w:rPr>
          <w:b/>
          <w:bCs/>
          <w:sz w:val="32"/>
          <w:szCs w:val="32"/>
          <w:rtl/>
          <w:lang w:bidi="ar-IQ"/>
        </w:rPr>
      </w:pPr>
    </w:p>
    <w:p w:rsidR="00AB1F96" w:rsidRDefault="00AB1F96" w:rsidP="00C6341E">
      <w:pPr>
        <w:rPr>
          <w:b/>
          <w:bCs/>
          <w:rtl/>
          <w:lang w:bidi="ar-IQ"/>
        </w:rPr>
      </w:pPr>
    </w:p>
    <w:p w:rsidR="00C6341E" w:rsidRDefault="00C6341E" w:rsidP="00C6341E">
      <w:pPr>
        <w:rPr>
          <w:b/>
          <w:bCs/>
          <w:rtl/>
          <w:lang w:bidi="ar-IQ"/>
        </w:rPr>
      </w:pPr>
    </w:p>
    <w:p w:rsidR="00C6341E" w:rsidRDefault="00C6341E" w:rsidP="00C6341E">
      <w:pPr>
        <w:rPr>
          <w:b/>
          <w:bCs/>
          <w:rtl/>
          <w:lang w:bidi="ar-IQ"/>
        </w:rPr>
      </w:pPr>
    </w:p>
    <w:p w:rsidR="00C6341E" w:rsidRDefault="00C6341E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lang w:bidi="ar-IQ"/>
        </w:rPr>
      </w:pPr>
    </w:p>
    <w:p w:rsidR="00421A27" w:rsidRDefault="00421A27" w:rsidP="00C6341E">
      <w:pPr>
        <w:rPr>
          <w:b/>
          <w:bCs/>
          <w:lang w:bidi="ar-IQ"/>
        </w:rPr>
      </w:pPr>
      <w:r>
        <w:rPr>
          <w:noProof/>
          <w:lang w:val="en-GB" w:eastAsia="en-GB"/>
        </w:rPr>
        <w:drawing>
          <wp:inline distT="0" distB="0" distL="0" distR="0" wp14:anchorId="65679D50" wp14:editId="04B0D3DC">
            <wp:extent cx="8086725" cy="53435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</w:p>
    <w:p w:rsidR="00421A27" w:rsidRDefault="00421A27" w:rsidP="00C6341E">
      <w:pPr>
        <w:rPr>
          <w:b/>
          <w:bCs/>
          <w:lang w:bidi="ar-IQ"/>
        </w:rPr>
      </w:pPr>
    </w:p>
    <w:p w:rsidR="00421A27" w:rsidRDefault="00421A27" w:rsidP="00C6341E">
      <w:pPr>
        <w:rPr>
          <w:b/>
          <w:bCs/>
          <w:lang w:bidi="ar-IQ"/>
        </w:rPr>
      </w:pPr>
    </w:p>
    <w:p w:rsidR="00421A27" w:rsidRDefault="00421A27" w:rsidP="00C6341E">
      <w:pPr>
        <w:rPr>
          <w:b/>
          <w:bCs/>
          <w:lang w:bidi="ar-IQ"/>
        </w:rPr>
      </w:pPr>
    </w:p>
    <w:bookmarkEnd w:id="0"/>
    <w:p w:rsidR="00421A27" w:rsidRDefault="00421A27" w:rsidP="00C6341E">
      <w:pPr>
        <w:rPr>
          <w:b/>
          <w:bCs/>
          <w:lang w:bidi="ar-IQ"/>
        </w:rPr>
      </w:pPr>
    </w:p>
    <w:tbl>
      <w:tblPr>
        <w:bidiVisual/>
        <w:tblW w:w="13500" w:type="dxa"/>
        <w:tblInd w:w="93" w:type="dxa"/>
        <w:tblLook w:val="04A0" w:firstRow="1" w:lastRow="0" w:firstColumn="1" w:lastColumn="0" w:noHBand="0" w:noVBand="1"/>
      </w:tblPr>
      <w:tblGrid>
        <w:gridCol w:w="3663"/>
        <w:gridCol w:w="1886"/>
        <w:gridCol w:w="1667"/>
        <w:gridCol w:w="1940"/>
        <w:gridCol w:w="1776"/>
        <w:gridCol w:w="1220"/>
        <w:gridCol w:w="1348"/>
      </w:tblGrid>
      <w:tr w:rsidR="00421A27" w:rsidRPr="00421A27" w:rsidTr="00421A27">
        <w:trPr>
          <w:trHeight w:val="525"/>
        </w:trPr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ملخص تنفيذ الموازنه حسب التصنيف الأداري مع أرصدة السلف  </w:t>
            </w:r>
            <w:r w:rsidR="00A371B5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(الجزء الثاني)</w:t>
            </w:r>
          </w:p>
        </w:tc>
      </w:tr>
      <w:tr w:rsidR="00421A27" w:rsidRPr="00421A27" w:rsidTr="00421A27">
        <w:trPr>
          <w:trHeight w:val="600"/>
        </w:trPr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21A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val="en-GB" w:eastAsia="en-GB"/>
              </w:rPr>
              <w:t>اسماء الوزارات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المصدق 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الأنفاق الفعلي 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أرصدة السلف 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الأنفاق الأجمالي (فعلي+ سلف ) 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>نسبة التنفيذ للنفقات الفعليه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  <w:hideMark/>
          </w:tcPr>
          <w:p w:rsidR="00421A27" w:rsidRPr="00421A27" w:rsidRDefault="00421A27" w:rsidP="00421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val="en-GB" w:eastAsia="en-GB"/>
              </w:rPr>
              <w:t xml:space="preserve">نسبة التنفيذ للانفاق العام 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التخطيط والتعاون الانمائي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61,859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27,262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69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27,330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44%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44%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وزارةالعمل والشوؤن الاجتماعية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2,229,148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796,716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551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797,267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36%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36%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الزراعة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801,651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156,162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114,074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270,237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19%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34%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الخارجية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348,780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73,813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42,170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115,983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21%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33%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النفط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2,049,568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272,429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334,328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606,757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13%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30%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المهجرين والمهاجرين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1,169,211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65,058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264,363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329,422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6%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28%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التجارة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4,304,520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32,688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353,040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385,727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1%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9%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الاتصالات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174,521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11,924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11,943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7%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7%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البلديات والاشغال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2,363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2,387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العلوم والتكنولوجيا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-3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البيئة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-1,645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-1,645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وزارة حقوق الانسان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638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-1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638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بغداد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2,310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2,324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ديالى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4,406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321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4,727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بابل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3,420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890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4,311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 xml:space="preserve"> محافظة واسط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2,517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118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2,636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النجف الاشرف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1,845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1,849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الديوانية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2,596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-17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2,579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المثنى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613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421A27" w:rsidRPr="00421A27" w:rsidTr="00421A27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21A27" w:rsidRPr="00421A27" w:rsidRDefault="00421A27" w:rsidP="00421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GB" w:eastAsia="en-GB"/>
              </w:rPr>
              <w:t>محافظة كربلاء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0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1,959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-8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1,951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421A27" w:rsidRPr="00421A27" w:rsidRDefault="00421A27" w:rsidP="00421A27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21A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421A27" w:rsidRDefault="00421A27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EC7F28" w:rsidP="00C6341E">
      <w:pPr>
        <w:rPr>
          <w:b/>
          <w:bCs/>
          <w:rtl/>
          <w:lang w:bidi="ar-IQ"/>
        </w:rPr>
      </w:pPr>
    </w:p>
    <w:p w:rsidR="00EC7F28" w:rsidRDefault="00421A27" w:rsidP="00C6341E">
      <w:pPr>
        <w:rPr>
          <w:b/>
          <w:bCs/>
          <w:rtl/>
          <w:lang w:bidi="ar-IQ"/>
        </w:rPr>
      </w:pPr>
      <w:r>
        <w:rPr>
          <w:noProof/>
          <w:lang w:val="en-GB" w:eastAsia="en-GB"/>
        </w:rPr>
        <w:drawing>
          <wp:inline distT="0" distB="0" distL="0" distR="0" wp14:anchorId="0055E214" wp14:editId="1E7AF9D6">
            <wp:extent cx="8067675" cy="513397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7F28" w:rsidRPr="00F92E05" w:rsidRDefault="00EC7F28" w:rsidP="00C6341E">
      <w:pPr>
        <w:rPr>
          <w:b/>
          <w:bCs/>
          <w:lang w:bidi="ar-IQ"/>
        </w:rPr>
      </w:pPr>
    </w:p>
    <w:sectPr w:rsidR="00EC7F28" w:rsidRPr="00F92E05" w:rsidSect="00745E82">
      <w:footerReference w:type="default" r:id="rId14"/>
      <w:pgSz w:w="16838" w:h="11906" w:orient="landscape"/>
      <w:pgMar w:top="709" w:right="2096" w:bottom="426" w:left="1985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71" w:rsidRDefault="005C4971" w:rsidP="000105EC">
      <w:pPr>
        <w:spacing w:after="0" w:line="240" w:lineRule="auto"/>
      </w:pPr>
      <w:r>
        <w:separator/>
      </w:r>
    </w:p>
  </w:endnote>
  <w:endnote w:type="continuationSeparator" w:id="0">
    <w:p w:rsidR="005C4971" w:rsidRDefault="005C4971" w:rsidP="0001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11006879"/>
      <w:docPartObj>
        <w:docPartGallery w:val="Page Numbers (Bottom of Page)"/>
        <w:docPartUnique/>
      </w:docPartObj>
    </w:sdtPr>
    <w:sdtEndPr/>
    <w:sdtContent>
      <w:p w:rsidR="000105EC" w:rsidRDefault="003414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1B5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0105EC" w:rsidRDefault="00010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71" w:rsidRDefault="005C4971" w:rsidP="000105EC">
      <w:pPr>
        <w:spacing w:after="0" w:line="240" w:lineRule="auto"/>
      </w:pPr>
      <w:r>
        <w:separator/>
      </w:r>
    </w:p>
  </w:footnote>
  <w:footnote w:type="continuationSeparator" w:id="0">
    <w:p w:rsidR="005C4971" w:rsidRDefault="005C4971" w:rsidP="0001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1BD"/>
    <w:rsid w:val="0000556B"/>
    <w:rsid w:val="000105EC"/>
    <w:rsid w:val="000508B7"/>
    <w:rsid w:val="00053C87"/>
    <w:rsid w:val="000F125D"/>
    <w:rsid w:val="000F7915"/>
    <w:rsid w:val="001D0D2C"/>
    <w:rsid w:val="00216C5B"/>
    <w:rsid w:val="00330BDB"/>
    <w:rsid w:val="0034143B"/>
    <w:rsid w:val="00421A27"/>
    <w:rsid w:val="0044606E"/>
    <w:rsid w:val="004558F6"/>
    <w:rsid w:val="004565EB"/>
    <w:rsid w:val="00483D9D"/>
    <w:rsid w:val="00486664"/>
    <w:rsid w:val="005C4971"/>
    <w:rsid w:val="006519C3"/>
    <w:rsid w:val="00745E82"/>
    <w:rsid w:val="007F42B8"/>
    <w:rsid w:val="0088731F"/>
    <w:rsid w:val="008C7529"/>
    <w:rsid w:val="009648A0"/>
    <w:rsid w:val="00966B76"/>
    <w:rsid w:val="009962DE"/>
    <w:rsid w:val="00A1613D"/>
    <w:rsid w:val="00A371B5"/>
    <w:rsid w:val="00AB1F96"/>
    <w:rsid w:val="00AB2207"/>
    <w:rsid w:val="00B8507C"/>
    <w:rsid w:val="00BA7C23"/>
    <w:rsid w:val="00C6341E"/>
    <w:rsid w:val="00CF53C2"/>
    <w:rsid w:val="00D3153B"/>
    <w:rsid w:val="00D61BC0"/>
    <w:rsid w:val="00DF71BD"/>
    <w:rsid w:val="00EC7F28"/>
    <w:rsid w:val="00ED580C"/>
    <w:rsid w:val="00F062EF"/>
    <w:rsid w:val="00F41CCF"/>
    <w:rsid w:val="00F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5EC"/>
  </w:style>
  <w:style w:type="paragraph" w:styleId="Footer">
    <w:name w:val="footer"/>
    <w:basedOn w:val="Normal"/>
    <w:link w:val="FooterChar"/>
    <w:uiPriority w:val="99"/>
    <w:unhideWhenUsed/>
    <w:rsid w:val="00010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الانفاق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العام </a:t>
            </a:r>
            <a:endParaRPr lang="ar-IQ" sz="1200"/>
          </a:p>
        </c:rich>
      </c:tx>
      <c:layout>
        <c:manualLayout>
          <c:xMode val="edge"/>
          <c:yMode val="edge"/>
          <c:x val="0.57088950751775991"/>
          <c:y val="7.938104497102344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عمل'!$B$3</c:f>
              <c:strCache>
                <c:ptCount val="1"/>
                <c:pt idx="0">
                  <c:v>المبالغ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3.276864754287824E-2"/>
                  <c:y val="-0.43659574734062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613152091442024E-3"/>
                  <c:y val="-0.17135389860668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عمل'!$A$4:$A$5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عمل'!$B$4:$B$5</c:f>
              <c:numCache>
                <c:formatCode>_-* #,##0_-;_-* #,##0\-;_-* "-"??_-;_-@_-</c:formatCode>
                <c:ptCount val="2"/>
                <c:pt idx="0">
                  <c:v>80149411.081</c:v>
                </c:pt>
                <c:pt idx="1">
                  <c:v>36359495.797181956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014400"/>
        <c:axId val="122583232"/>
        <c:axId val="0"/>
      </c:bar3DChart>
      <c:catAx>
        <c:axId val="135014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122583232"/>
        <c:crosses val="autoZero"/>
        <c:auto val="1"/>
        <c:lblAlgn val="ctr"/>
        <c:lblOffset val="100"/>
        <c:noMultiLvlLbl val="0"/>
      </c:catAx>
      <c:valAx>
        <c:axId val="122583232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135014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53032217988052255"/>
          <c:y val="3.5592348562069845E-2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71566732795606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062633196031588E-17"/>
                  <c:y val="-2.506769841190208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91489064362116E-3"/>
                  <c:y val="-3.763747309315804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922882514292747E-2"/>
                  <c:y val="-2.924564814721917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عمل'!$A$12:$A$15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عمل'!$B$12:$B$15</c:f>
              <c:numCache>
                <c:formatCode>_-* #,##0_-;_-* #,##0\-;_-* "-"??_-;_-@_-</c:formatCode>
                <c:ptCount val="4"/>
                <c:pt idx="0">
                  <c:v>32565006.633831799</c:v>
                </c:pt>
                <c:pt idx="1">
                  <c:v>32648468.047656424</c:v>
                </c:pt>
                <c:pt idx="2">
                  <c:v>3711027.7495254939</c:v>
                </c:pt>
                <c:pt idx="3">
                  <c:v>36359495.797181919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013888"/>
        <c:axId val="122580928"/>
        <c:axId val="0"/>
      </c:bar3DChart>
      <c:catAx>
        <c:axId val="1350138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122580928"/>
        <c:crosses val="autoZero"/>
        <c:auto val="1"/>
        <c:lblAlgn val="ctr"/>
        <c:lblOffset val="100"/>
        <c:noMultiLvlLbl val="0"/>
      </c:catAx>
      <c:valAx>
        <c:axId val="122580928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135013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</a:t>
            </a:r>
            <a:r>
              <a:rPr lang="ar-IQ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نسبة الأهميه</a:t>
            </a:r>
            <a:r>
              <a:rPr lang="ar-IQ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النسبيه</a:t>
            </a:r>
            <a:r>
              <a:rPr lang="ar-IQ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للايرادات </a:t>
            </a:r>
            <a:endParaRPr lang="ar-IQ"/>
          </a:p>
        </c:rich>
      </c:tx>
      <c:layout>
        <c:manualLayout>
          <c:xMode val="edge"/>
          <c:yMode val="edge"/>
          <c:x val="0.51781451182348281"/>
          <c:y val="3.7601547617853254E-2"/>
        </c:manualLayout>
      </c:layout>
      <c:overlay val="0"/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922990022978906E-2"/>
                  <c:y val="-0.4052611243257504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288242828579307E-2"/>
                  <c:y val="-8.147001983868168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15044400012309E-2"/>
                  <c:y val="-6.058027116209679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268015714329638E-3"/>
                  <c:y val="-6.058027116209679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653603142865943E-2"/>
                  <c:y val="-5.84912962944383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288242828579307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653603142865943E-2"/>
                  <c:y val="-4.386847222082876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638432377143912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614412571463789E-3"/>
                  <c:y val="-4.386847222082876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lang="ar-IQ" sz="1050" b="1"/>
                </a:pPr>
                <a:endParaRPr lang="en-U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عمل'!$A$23:$A$30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الايرادات التحويلية</c:v>
                </c:pt>
                <c:pt idx="2">
                  <c:v> الضرائب على الدخول والثروات</c:v>
                </c:pt>
                <c:pt idx="3">
                  <c:v> ايرادات اخرى</c:v>
                </c:pt>
                <c:pt idx="4">
                  <c:v> الرسوم</c:v>
                </c:pt>
                <c:pt idx="5">
                  <c:v> الضرائب السلعية ورسوم الانتاج</c:v>
                </c:pt>
                <c:pt idx="6">
                  <c:v> حصة الموازنة من ارباح القطاع العام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عمل'!$C$23:$C$30</c:f>
              <c:numCache>
                <c:formatCode>0%</c:formatCode>
                <c:ptCount val="8"/>
                <c:pt idx="0">
                  <c:v>0.82499050790425099</c:v>
                </c:pt>
                <c:pt idx="1">
                  <c:v>6.268015870919115E-2</c:v>
                </c:pt>
                <c:pt idx="2">
                  <c:v>4.8253622442016121E-2</c:v>
                </c:pt>
                <c:pt idx="3">
                  <c:v>3.0072342704410924E-2</c:v>
                </c:pt>
                <c:pt idx="4">
                  <c:v>1.2687538669374497E-2</c:v>
                </c:pt>
                <c:pt idx="5">
                  <c:v>1.1999245561431698E-2</c:v>
                </c:pt>
                <c:pt idx="6">
                  <c:v>8.5431198866374215E-3</c:v>
                </c:pt>
                <c:pt idx="7" formatCode="0.0%">
                  <c:v>7.7346412268724412E-4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066112"/>
        <c:axId val="122587392"/>
        <c:axId val="0"/>
      </c:bar3DChart>
      <c:catAx>
        <c:axId val="13506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050" b="1"/>
            </a:pPr>
            <a:endParaRPr lang="en-US"/>
          </a:p>
        </c:txPr>
        <c:crossAx val="122587392"/>
        <c:crosses val="autoZero"/>
        <c:auto val="1"/>
        <c:lblAlgn val="ctr"/>
        <c:lblOffset val="100"/>
        <c:noMultiLvlLbl val="0"/>
      </c:catAx>
      <c:valAx>
        <c:axId val="122587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050" b="1"/>
            </a:pPr>
            <a:endParaRPr lang="en-US"/>
          </a:p>
        </c:txPr>
        <c:crossAx val="135066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للمصروفات حسب التصنيف الاقتصادي </a:t>
            </a:r>
            <a:endParaRPr lang="ar-IQ" sz="1200"/>
          </a:p>
        </c:rich>
      </c:tx>
      <c:layout>
        <c:manualLayout>
          <c:xMode val="edge"/>
          <c:yMode val="edge"/>
          <c:x val="0.54414037882190658"/>
          <c:y val="4.1817493667692128E-2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922882514292747E-2"/>
                  <c:y val="-1.8800773808926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922882514292747E-2"/>
                  <c:y val="-2.2978723544243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960809428597783E-3"/>
                  <c:y val="-2.0889748676585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4614412571464214E-3"/>
                  <c:y val="-2.0889748676585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268015714329638E-3"/>
                  <c:y val="-2.0889748676585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4622824073609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653603142865952E-3"/>
                  <c:y val="-1.8800773808926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3.3423597882536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1334623014877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6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lang="ar-IQ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تعويضات الموظفين</c:v>
                </c:pt>
                <c:pt idx="1">
                  <c:v> الرعاية الاجتماعية</c:v>
                </c:pt>
                <c:pt idx="2">
                  <c:v> صيانة الموجودات</c:v>
                </c:pt>
                <c:pt idx="3">
                  <c:v>الالتزامات والمساهمات والمساعدات الخارجيه</c:v>
                </c:pt>
                <c:pt idx="4">
                  <c:v> المنح والاعانات وخدمة الدين</c:v>
                </c:pt>
                <c:pt idx="5">
                  <c:v> المستلزمات الخدمية</c:v>
                </c:pt>
                <c:pt idx="6">
                  <c:v> النفقات الرأسمالية</c:v>
                </c:pt>
                <c:pt idx="7">
                  <c:v> المستلزمات السلعية</c:v>
                </c:pt>
                <c:pt idx="8">
                  <c:v> البرامج الخاصة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0.52850156805687798</c:v>
                </c:pt>
                <c:pt idx="1">
                  <c:v>0.39078516365417426</c:v>
                </c:pt>
                <c:pt idx="2">
                  <c:v>0.32130071446032676</c:v>
                </c:pt>
                <c:pt idx="3">
                  <c:v>0.29007285749604517</c:v>
                </c:pt>
                <c:pt idx="4">
                  <c:v>0.25660881614839853</c:v>
                </c:pt>
                <c:pt idx="5">
                  <c:v>0.18651235416294923</c:v>
                </c:pt>
                <c:pt idx="6">
                  <c:v>0.16823869462824509</c:v>
                </c:pt>
                <c:pt idx="7">
                  <c:v>0.10727465648561467</c:v>
                </c:pt>
                <c:pt idx="8">
                  <c:v>3.023324937751912E-2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066624"/>
        <c:axId val="122590848"/>
        <c:axId val="0"/>
      </c:bar3DChart>
      <c:catAx>
        <c:axId val="13506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122590848"/>
        <c:crosses val="autoZero"/>
        <c:auto val="1"/>
        <c:lblAlgn val="ctr"/>
        <c:lblOffset val="100"/>
        <c:noMultiLvlLbl val="0"/>
      </c:catAx>
      <c:valAx>
        <c:axId val="122590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13506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للانفاق العام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حسب التصنيف الإداري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الاول) </a:t>
            </a:r>
            <a:endParaRPr lang="ar-IQ" sz="1200"/>
          </a:p>
        </c:rich>
      </c:tx>
      <c:layout>
        <c:manualLayout>
          <c:xMode val="edge"/>
          <c:yMode val="edge"/>
          <c:x val="0.56162215126171122"/>
          <c:y val="3.7601547617853254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lang="ar-IQ" sz="1200" b="1"/>
                </a:pPr>
                <a:endParaRPr lang="en-U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عمل'!$A$53:$A$71</c:f>
              <c:strCache>
                <c:ptCount val="19"/>
                <c:pt idx="0">
                  <c:v>وزارةالدفاع</c:v>
                </c:pt>
                <c:pt idx="1">
                  <c:v>وزارة الداخلية</c:v>
                </c:pt>
                <c:pt idx="2">
                  <c:v>وزارة التربية</c:v>
                </c:pt>
                <c:pt idx="3">
                  <c:v>وزارة الشباب والرياضة</c:v>
                </c:pt>
                <c:pt idx="4">
                  <c:v>وزارة الصناعة والمعادن</c:v>
                </c:pt>
                <c:pt idx="5">
                  <c:v>مجلس النواب</c:v>
                </c:pt>
                <c:pt idx="6">
                  <c:v>مجلس القضاء الاعلى</c:v>
                </c:pt>
                <c:pt idx="7">
                  <c:v>وزارة العدل</c:v>
                </c:pt>
                <c:pt idx="8">
                  <c:v>وزارة الكهرباء</c:v>
                </c:pt>
                <c:pt idx="9">
                  <c:v>وزارة الموارد المائية</c:v>
                </c:pt>
                <c:pt idx="10">
                  <c:v>وزارة التعليم العالي والبحث العلمي</c:v>
                </c:pt>
                <c:pt idx="11">
                  <c:v>مجلس الوزراء</c:v>
                </c:pt>
                <c:pt idx="12">
                  <c:v>وزارة الثقافة</c:v>
                </c:pt>
                <c:pt idx="13">
                  <c:v>دوائر غير مرتبطة بوزارة</c:v>
                </c:pt>
                <c:pt idx="14">
                  <c:v>وزارة المالية</c:v>
                </c:pt>
                <c:pt idx="15">
                  <c:v>وزارة الصحة والبيئة</c:v>
                </c:pt>
                <c:pt idx="16">
                  <c:v>وزارة النقل</c:v>
                </c:pt>
                <c:pt idx="17">
                  <c:v>رئاسة الجمهورية</c:v>
                </c:pt>
                <c:pt idx="18">
                  <c:v>وزارة الاعمار والاسكان</c:v>
                </c:pt>
              </c:strCache>
            </c:strRef>
          </c:cat>
          <c:val>
            <c:numRef>
              <c:f>'ورقه عمل'!$G$53:$G$71</c:f>
              <c:numCache>
                <c:formatCode>0%</c:formatCode>
                <c:ptCount val="19"/>
                <c:pt idx="0">
                  <c:v>0.78680041699990388</c:v>
                </c:pt>
                <c:pt idx="1">
                  <c:v>0.6468114370026613</c:v>
                </c:pt>
                <c:pt idx="2">
                  <c:v>0.62100723017772219</c:v>
                </c:pt>
                <c:pt idx="3">
                  <c:v>0.58062938500026839</c:v>
                </c:pt>
                <c:pt idx="4">
                  <c:v>0.57825033378535329</c:v>
                </c:pt>
                <c:pt idx="5">
                  <c:v>0.5723418110790186</c:v>
                </c:pt>
                <c:pt idx="6">
                  <c:v>0.54767831508354725</c:v>
                </c:pt>
                <c:pt idx="7">
                  <c:v>0.54741692266097997</c:v>
                </c:pt>
                <c:pt idx="8">
                  <c:v>0.53672844150235677</c:v>
                </c:pt>
                <c:pt idx="9">
                  <c:v>0.53294652811776655</c:v>
                </c:pt>
                <c:pt idx="10">
                  <c:v>0.52755975988535375</c:v>
                </c:pt>
                <c:pt idx="11">
                  <c:v>0.5245867992905785</c:v>
                </c:pt>
                <c:pt idx="12">
                  <c:v>0.49311846903620482</c:v>
                </c:pt>
                <c:pt idx="13">
                  <c:v>0.48497452502691518</c:v>
                </c:pt>
                <c:pt idx="14">
                  <c:v>0.47277557610000603</c:v>
                </c:pt>
                <c:pt idx="15">
                  <c:v>0.47274540099700435</c:v>
                </c:pt>
                <c:pt idx="16">
                  <c:v>0.46219120680749276</c:v>
                </c:pt>
                <c:pt idx="17">
                  <c:v>0.45669963046582357</c:v>
                </c:pt>
                <c:pt idx="18">
                  <c:v>0.44264591039460716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067136"/>
        <c:axId val="122592576"/>
        <c:axId val="0"/>
      </c:bar3DChart>
      <c:catAx>
        <c:axId val="13506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122592576"/>
        <c:crosses val="autoZero"/>
        <c:auto val="1"/>
        <c:lblAlgn val="ctr"/>
        <c:lblOffset val="100"/>
        <c:noMultiLvlLbl val="0"/>
      </c:catAx>
      <c:valAx>
        <c:axId val="122592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135067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IQ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 b="1" i="0" u="none" strike="noStrike" baseline="0">
                <a:solidFill>
                  <a:schemeClr val="dk1"/>
                </a:solidFill>
                <a:effectLst/>
                <a:latin typeface="+mn-lt"/>
                <a:ea typeface="+mn-ea"/>
                <a:cs typeface="+mn-cs"/>
              </a:rPr>
              <a:t>مخطط يوضح نسبة التنفيذ للانفاق العام حسب التصنيف الإداري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54905395581435956"/>
          <c:y val="3.9690522485511692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lang="ar-IQ" sz="1200" b="1"/>
                </a:pPr>
                <a:endParaRPr lang="en-US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عمل'!$A$72:$A$91</c:f>
              <c:strCache>
                <c:ptCount val="20"/>
                <c:pt idx="0">
                  <c:v>وزارة التخطيط والتعاون الانمائي</c:v>
                </c:pt>
                <c:pt idx="1">
                  <c:v>وزارةالعمل والشوؤن الاجتماعية</c:v>
                </c:pt>
                <c:pt idx="2">
                  <c:v>وزارة الزراعة</c:v>
                </c:pt>
                <c:pt idx="3">
                  <c:v>وزارة الخارجية</c:v>
                </c:pt>
                <c:pt idx="4">
                  <c:v>وزارة النفط</c:v>
                </c:pt>
                <c:pt idx="5">
                  <c:v>وزارة المهجرين والمهاجرين</c:v>
                </c:pt>
                <c:pt idx="6">
                  <c:v>وزارة التجارة</c:v>
                </c:pt>
                <c:pt idx="7">
                  <c:v>وزارة الاتصالات</c:v>
                </c:pt>
                <c:pt idx="8">
                  <c:v>وزارة البلديات والاشغال</c:v>
                </c:pt>
                <c:pt idx="9">
                  <c:v>وزارة العلوم والتكنولوجيا</c:v>
                </c:pt>
                <c:pt idx="10">
                  <c:v>وزارة البيئة</c:v>
                </c:pt>
                <c:pt idx="11">
                  <c:v>وزارة حقوق الانسان</c:v>
                </c:pt>
                <c:pt idx="12">
                  <c:v>محافظة بغداد</c:v>
                </c:pt>
                <c:pt idx="13">
                  <c:v>محافظة ديالى</c:v>
                </c:pt>
                <c:pt idx="14">
                  <c:v>محافظة بابل</c:v>
                </c:pt>
                <c:pt idx="15">
                  <c:v> محافظة واسط</c:v>
                </c:pt>
                <c:pt idx="16">
                  <c:v>محافظة النجف الاشرف</c:v>
                </c:pt>
                <c:pt idx="17">
                  <c:v>محافظة الديوانية</c:v>
                </c:pt>
                <c:pt idx="18">
                  <c:v>محافظة المثنى</c:v>
                </c:pt>
                <c:pt idx="19">
                  <c:v>محافظة كربلاء</c:v>
                </c:pt>
              </c:strCache>
            </c:strRef>
          </c:cat>
          <c:val>
            <c:numRef>
              <c:f>'ورقه عمل'!$G$72:$G$91</c:f>
              <c:numCache>
                <c:formatCode>0%</c:formatCode>
                <c:ptCount val="20"/>
                <c:pt idx="0">
                  <c:v>0.4418109658080685</c:v>
                </c:pt>
                <c:pt idx="1">
                  <c:v>0.3576554950721017</c:v>
                </c:pt>
                <c:pt idx="2">
                  <c:v>0.33710006771702272</c:v>
                </c:pt>
                <c:pt idx="3">
                  <c:v>0.33253863631348746</c:v>
                </c:pt>
                <c:pt idx="4">
                  <c:v>0.29604155166947599</c:v>
                </c:pt>
                <c:pt idx="5">
                  <c:v>0.28174687884242772</c:v>
                </c:pt>
                <c:pt idx="6">
                  <c:v>8.9609837875459272E-2</c:v>
                </c:pt>
                <c:pt idx="7">
                  <c:v>6.8431483275305419E-2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014912"/>
        <c:axId val="124953728"/>
        <c:axId val="0"/>
      </c:bar3DChart>
      <c:catAx>
        <c:axId val="13501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124953728"/>
        <c:crosses val="autoZero"/>
        <c:auto val="1"/>
        <c:lblAlgn val="ctr"/>
        <c:lblOffset val="100"/>
        <c:noMultiLvlLbl val="0"/>
      </c:catAx>
      <c:valAx>
        <c:axId val="124953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ar-IQ" sz="1200" b="1"/>
            </a:pPr>
            <a:endParaRPr lang="en-US"/>
          </a:p>
        </c:txPr>
        <c:crossAx val="135014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VMCDCHTSR4DK-1850682920-328</_dlc_DocId>
    <_dlc_DocIdUrl xmlns="536e90f3-28f6-43a2-9886-69104c66b47c">
      <Url>http://cms-mof/_layouts/DocIdRedir.aspx?ID=VMCDCHTSR4DK-1850682920-328</Url>
      <Description>VMCDCHTSR4DK-1850682920-328</Description>
    </_dlc_DocIdUrl>
  </documentManagement>
</p:properties>
</file>

<file path=customXml/itemProps1.xml><?xml version="1.0" encoding="utf-8"?>
<ds:datastoreItem xmlns:ds="http://schemas.openxmlformats.org/officeDocument/2006/customXml" ds:itemID="{5370A10A-F1CE-41C3-94CD-44264EEE9D78}"/>
</file>

<file path=customXml/itemProps2.xml><?xml version="1.0" encoding="utf-8"?>
<ds:datastoreItem xmlns:ds="http://schemas.openxmlformats.org/officeDocument/2006/customXml" ds:itemID="{2DB3A121-8E6A-4162-835E-CF9D8353D92F}"/>
</file>

<file path=customXml/itemProps3.xml><?xml version="1.0" encoding="utf-8"?>
<ds:datastoreItem xmlns:ds="http://schemas.openxmlformats.org/officeDocument/2006/customXml" ds:itemID="{A459D33B-8B17-4200-9ACD-EF0FB5C4069C}"/>
</file>

<file path=customXml/itemProps4.xml><?xml version="1.0" encoding="utf-8"?>
<ds:datastoreItem xmlns:ds="http://schemas.openxmlformats.org/officeDocument/2006/customXml" ds:itemID="{9FEFC3C8-38AB-4BCC-95B7-E341BCC23F36}"/>
</file>

<file path=customXml/itemProps5.xml><?xml version="1.0" encoding="utf-8"?>
<ds:datastoreItem xmlns:ds="http://schemas.openxmlformats.org/officeDocument/2006/customXml" ds:itemID="{93C5357A-04C3-462A-8454-652F2BBEF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آب 2016</dc:title>
  <dc:subject/>
  <dc:creator>MOF</dc:creator>
  <cp:keywords/>
  <dc:description/>
  <cp:lastModifiedBy>Hani</cp:lastModifiedBy>
  <cp:revision>19</cp:revision>
  <dcterms:created xsi:type="dcterms:W3CDTF">2016-07-31T10:16:00Z</dcterms:created>
  <dcterms:modified xsi:type="dcterms:W3CDTF">2016-10-30T06:18:00Z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0x010100970E9202C8529F4FB773F26894CE7BF4</vt:lpwstr>
  </property>
  <property fmtid="{D5CDD505-2E9C-101B-9397-08002B2CF9AE}" pid="3" name="_dlc_DocIdItemGuid">
    <vt:lpwstr>73f496b8-955e-4198-9245-27fcc09f7e93</vt:lpwstr>
  </property>
</Properties>
</file>