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chart7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62" w:rsidRDefault="00A332E8" w:rsidP="005315FB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44"/>
          <w:szCs w:val="44"/>
          <w:rtl/>
        </w:rPr>
      </w:pPr>
      <w:r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تقرير تنفيذ الموازنة</w:t>
      </w:r>
      <w:r w:rsidR="00273189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 xml:space="preserve">                                                                                      </w:t>
      </w:r>
      <w:r w:rsidR="00815E53" w:rsidRPr="00B444BB">
        <w:rPr>
          <w:rFonts w:ascii="Andalus" w:hAnsi="Andalus" w:cs="Andalus" w:hint="cs"/>
          <w:b/>
          <w:bCs/>
          <w:i/>
          <w:iCs/>
          <w:sz w:val="24"/>
          <w:szCs w:val="24"/>
          <w:rtl/>
        </w:rPr>
        <w:t>(المبالغ بالمليون)</w:t>
      </w:r>
    </w:p>
    <w:p w:rsidR="00A332E8" w:rsidRPr="00B444BB" w:rsidRDefault="00960962" w:rsidP="00815E53">
      <w:pPr>
        <w:spacing w:line="240" w:lineRule="auto"/>
        <w:ind w:left="-712"/>
        <w:jc w:val="both"/>
        <w:rPr>
          <w:rFonts w:ascii="Andalus" w:hAnsi="Andalus" w:cs="Andalus"/>
          <w:b/>
          <w:bCs/>
          <w:i/>
          <w:iCs/>
          <w:sz w:val="16"/>
          <w:szCs w:val="16"/>
          <w:rtl/>
        </w:rPr>
      </w:pPr>
      <w:r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ا</w:t>
      </w:r>
      <w:r w:rsidR="005315FB" w:rsidRPr="00A332E8">
        <w:rPr>
          <w:rFonts w:ascii="Andalus" w:hAnsi="Andalus" w:cs="Andalus"/>
          <w:b/>
          <w:bCs/>
          <w:i/>
          <w:iCs/>
          <w:sz w:val="44"/>
          <w:szCs w:val="44"/>
          <w:rtl/>
        </w:rPr>
        <w:t>لموازنة الجارية</w:t>
      </w:r>
      <w:r w:rsidR="00534B02">
        <w:rPr>
          <w:rFonts w:ascii="Andalus" w:hAnsi="Andalus" w:cs="Andalus"/>
          <w:b/>
          <w:bCs/>
          <w:i/>
          <w:iCs/>
          <w:sz w:val="44"/>
          <w:szCs w:val="44"/>
          <w:rtl/>
        </w:rPr>
        <w:t xml:space="preserve"> لغاية </w:t>
      </w:r>
      <w:r w:rsidR="00553033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اذار</w:t>
      </w:r>
      <w:r w:rsidR="005315FB">
        <w:rPr>
          <w:rFonts w:ascii="Andalus" w:hAnsi="Andalus" w:cs="Andalus" w:hint="cs"/>
          <w:b/>
          <w:bCs/>
          <w:i/>
          <w:iCs/>
          <w:sz w:val="44"/>
          <w:szCs w:val="44"/>
          <w:rtl/>
        </w:rPr>
        <w:t>لسنة 2015</w:t>
      </w:r>
    </w:p>
    <w:tbl>
      <w:tblPr>
        <w:bidiVisual/>
        <w:tblW w:w="7880" w:type="dxa"/>
        <w:tblInd w:w="93" w:type="dxa"/>
        <w:tblLook w:val="04A0"/>
      </w:tblPr>
      <w:tblGrid>
        <w:gridCol w:w="4900"/>
        <w:gridCol w:w="2980"/>
      </w:tblGrid>
      <w:tr w:rsidR="00133357" w:rsidRPr="00133357" w:rsidTr="00133357">
        <w:trPr>
          <w:trHeight w:val="20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33357" w:rsidRPr="00133357" w:rsidRDefault="00133357" w:rsidP="0013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ملخص الانفاق العام </w:t>
            </w:r>
          </w:p>
        </w:tc>
      </w:tr>
      <w:tr w:rsidR="00133357" w:rsidRPr="00133357" w:rsidTr="00133357">
        <w:trPr>
          <w:trHeight w:val="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33357" w:rsidRPr="00133357" w:rsidRDefault="00133357" w:rsidP="0013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التفاصيل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33357" w:rsidRPr="00133357" w:rsidRDefault="00133357" w:rsidP="0013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133357" w:rsidRPr="00133357" w:rsidTr="00133357">
        <w:trPr>
          <w:trHeight w:val="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33357" w:rsidRPr="00133357" w:rsidRDefault="00133357" w:rsidP="0013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الاعتمادات المصدقة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33357" w:rsidRPr="00133357" w:rsidRDefault="00133357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78,248,392</w:t>
            </w:r>
          </w:p>
        </w:tc>
      </w:tr>
      <w:tr w:rsidR="00133357" w:rsidRPr="00133357" w:rsidTr="00133357">
        <w:trPr>
          <w:trHeight w:val="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33357" w:rsidRPr="00133357" w:rsidRDefault="00133357" w:rsidP="0013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الانفاق الاجمالي (المصرف الفعلي مضافأ اليه السلف)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33357" w:rsidRPr="00133357" w:rsidRDefault="00133357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11,693,180</w:t>
            </w:r>
          </w:p>
        </w:tc>
      </w:tr>
    </w:tbl>
    <w:p w:rsidR="000C2FC4" w:rsidRDefault="000C2FC4">
      <w:pPr>
        <w:rPr>
          <w:rtl/>
          <w:lang w:bidi="ar-IQ"/>
        </w:rPr>
      </w:pPr>
    </w:p>
    <w:p w:rsidR="00133357" w:rsidRDefault="00133357">
      <w:pPr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7347568" cy="2807936"/>
            <wp:effectExtent l="0" t="0" r="25400" b="120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12553" w:rsidRDefault="00F12553">
      <w:pPr>
        <w:rPr>
          <w:rtl/>
          <w:lang w:bidi="ar-IQ"/>
        </w:rPr>
      </w:pPr>
    </w:p>
    <w:tbl>
      <w:tblPr>
        <w:bidiVisual/>
        <w:tblW w:w="7880" w:type="dxa"/>
        <w:tblInd w:w="93" w:type="dxa"/>
        <w:tblLook w:val="04A0"/>
      </w:tblPr>
      <w:tblGrid>
        <w:gridCol w:w="4470"/>
        <w:gridCol w:w="3410"/>
      </w:tblGrid>
      <w:tr w:rsidR="00133357" w:rsidRPr="00133357" w:rsidTr="00133357">
        <w:trPr>
          <w:trHeight w:val="283"/>
        </w:trPr>
        <w:tc>
          <w:tcPr>
            <w:tcW w:w="7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3357" w:rsidRPr="00133357" w:rsidRDefault="00133357" w:rsidP="0013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الملخص التنفيذي للأيرادات والمصروفات على مستوى الموازنة الجارية</w:t>
            </w:r>
          </w:p>
        </w:tc>
      </w:tr>
      <w:tr w:rsidR="00133357" w:rsidRPr="00133357" w:rsidTr="00133357">
        <w:trPr>
          <w:trHeight w:val="283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3357" w:rsidRPr="00133357" w:rsidRDefault="00133357" w:rsidP="0013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التفاصيل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3357" w:rsidRPr="00133357" w:rsidRDefault="00133357" w:rsidP="001333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المبالغ</w:t>
            </w:r>
          </w:p>
        </w:tc>
      </w:tr>
      <w:tr w:rsidR="00133357" w:rsidRPr="00133357" w:rsidTr="00133357">
        <w:trPr>
          <w:trHeight w:val="283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3357" w:rsidRPr="00133357" w:rsidRDefault="00133357" w:rsidP="001333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الأيرادات 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3357" w:rsidRPr="00133357" w:rsidRDefault="00133357" w:rsidP="001333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14,690,992 </w:t>
            </w:r>
          </w:p>
        </w:tc>
      </w:tr>
      <w:tr w:rsidR="00133357" w:rsidRPr="00133357" w:rsidTr="00133357">
        <w:trPr>
          <w:trHeight w:val="283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3357" w:rsidRPr="00133357" w:rsidRDefault="00133357" w:rsidP="001333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المصروفات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3357" w:rsidRPr="00133357" w:rsidRDefault="00133357" w:rsidP="001333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10,314,411 </w:t>
            </w:r>
          </w:p>
        </w:tc>
      </w:tr>
      <w:tr w:rsidR="00133357" w:rsidRPr="00133357" w:rsidTr="00133357">
        <w:trPr>
          <w:trHeight w:val="283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3357" w:rsidRPr="00133357" w:rsidRDefault="00133357" w:rsidP="001333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3357" w:rsidRPr="00133357" w:rsidRDefault="00133357" w:rsidP="001333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1,378,769 </w:t>
            </w:r>
          </w:p>
        </w:tc>
      </w:tr>
      <w:tr w:rsidR="00133357" w:rsidRPr="00133357" w:rsidTr="00133357">
        <w:trPr>
          <w:trHeight w:val="283"/>
        </w:trPr>
        <w:tc>
          <w:tcPr>
            <w:tcW w:w="4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3357" w:rsidRPr="00133357" w:rsidRDefault="00133357" w:rsidP="001333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الأنفاق الأجمالي( المصرف الفعلي مضافآ اليه السلف )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3357" w:rsidRPr="00133357" w:rsidRDefault="00133357" w:rsidP="00133357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11,693,180 </w:t>
            </w:r>
          </w:p>
        </w:tc>
      </w:tr>
    </w:tbl>
    <w:p w:rsidR="008821EA" w:rsidRDefault="008821EA">
      <w:pPr>
        <w:rPr>
          <w:rtl/>
        </w:rPr>
      </w:pPr>
    </w:p>
    <w:p w:rsidR="008821EA" w:rsidRDefault="00133357">
      <w:pPr>
        <w:rPr>
          <w:rtl/>
        </w:rPr>
      </w:pPr>
      <w:r>
        <w:rPr>
          <w:noProof/>
        </w:rPr>
        <w:drawing>
          <wp:inline distT="0" distB="0" distL="0" distR="0">
            <wp:extent cx="7072439" cy="2807937"/>
            <wp:effectExtent l="0" t="0" r="14605" b="1206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21EA" w:rsidRDefault="008821EA">
      <w:pPr>
        <w:rPr>
          <w:rtl/>
          <w:lang w:bidi="ar-IQ"/>
        </w:rPr>
      </w:pPr>
    </w:p>
    <w:p w:rsidR="00133357" w:rsidRDefault="00133357">
      <w:pPr>
        <w:rPr>
          <w:rtl/>
          <w:lang w:bidi="ar-IQ"/>
        </w:rPr>
      </w:pPr>
    </w:p>
    <w:p w:rsidR="00133357" w:rsidRDefault="00133357">
      <w:pPr>
        <w:rPr>
          <w:rtl/>
          <w:lang w:bidi="ar-IQ"/>
        </w:rPr>
      </w:pPr>
    </w:p>
    <w:tbl>
      <w:tblPr>
        <w:bidiVisual/>
        <w:tblW w:w="10360" w:type="dxa"/>
        <w:tblInd w:w="93" w:type="dxa"/>
        <w:tblLook w:val="04A0"/>
      </w:tblPr>
      <w:tblGrid>
        <w:gridCol w:w="4002"/>
        <w:gridCol w:w="4196"/>
        <w:gridCol w:w="2162"/>
      </w:tblGrid>
      <w:tr w:rsidR="008821EA" w:rsidRPr="008821EA" w:rsidTr="008821EA">
        <w:trPr>
          <w:trHeight w:val="20"/>
        </w:trPr>
        <w:tc>
          <w:tcPr>
            <w:tcW w:w="10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821EA" w:rsidRPr="008821EA" w:rsidRDefault="008821EA" w:rsidP="00882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IQ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ملخص الأيرادات حسب انواعها</w:t>
            </w:r>
          </w:p>
        </w:tc>
      </w:tr>
      <w:tr w:rsidR="008821EA" w:rsidRPr="008821EA" w:rsidTr="008821EA">
        <w:trPr>
          <w:trHeight w:val="2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8821EA" w:rsidRPr="008821EA" w:rsidRDefault="008821EA" w:rsidP="00882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الأعـــــــــــــــداد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21EA" w:rsidRPr="008821EA" w:rsidRDefault="008821EA" w:rsidP="00777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الايرادات الفعلية 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8821EA" w:rsidRPr="008821EA" w:rsidRDefault="008821EA" w:rsidP="00777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الأهمية النسبية </w:t>
            </w:r>
          </w:p>
        </w:tc>
      </w:tr>
      <w:tr w:rsidR="008821EA" w:rsidRPr="008821EA" w:rsidTr="008821EA">
        <w:trPr>
          <w:trHeight w:val="2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الايرادات النفطية والثروات المعدنية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11,170,092 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76%</w:t>
            </w:r>
          </w:p>
        </w:tc>
      </w:tr>
      <w:tr w:rsidR="008821EA" w:rsidRPr="008821EA" w:rsidTr="008821EA">
        <w:trPr>
          <w:trHeight w:val="2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الايرادات التحويلية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2,721,843 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19%</w:t>
            </w:r>
          </w:p>
        </w:tc>
      </w:tr>
      <w:tr w:rsidR="008821EA" w:rsidRPr="008821EA" w:rsidTr="008821EA">
        <w:trPr>
          <w:trHeight w:val="2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الضرائب على الدخول والثروات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214,596 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="00CA3959">
              <w:rPr>
                <w:rFonts w:ascii="Arial" w:eastAsia="Times New Roman" w:hAnsi="Arial" w:cs="Arial"/>
                <w:b/>
                <w:bCs/>
                <w:color w:val="000000"/>
              </w:rPr>
              <w:t>.5</w:t>
            </w: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%</w:t>
            </w:r>
          </w:p>
        </w:tc>
      </w:tr>
      <w:tr w:rsidR="008821EA" w:rsidRPr="008821EA" w:rsidTr="008821EA">
        <w:trPr>
          <w:trHeight w:val="2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الرسوم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150,700 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  <w:r w:rsidR="00CA3959">
              <w:rPr>
                <w:rFonts w:ascii="Arial" w:eastAsia="Times New Roman" w:hAnsi="Arial" w:cs="Arial"/>
                <w:b/>
                <w:bCs/>
                <w:color w:val="000000"/>
              </w:rPr>
              <w:t>.0</w:t>
            </w: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%</w:t>
            </w:r>
          </w:p>
        </w:tc>
      </w:tr>
      <w:tr w:rsidR="008821EA" w:rsidRPr="008821EA" w:rsidTr="008821EA">
        <w:trPr>
          <w:trHeight w:val="2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الضرائب السلعية ورسوم الانتاج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131,283 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CA3959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0.9</w:t>
            </w:r>
            <w:r w:rsidR="008821EA" w:rsidRPr="008821EA">
              <w:rPr>
                <w:rFonts w:ascii="Arial" w:eastAsia="Times New Roman" w:hAnsi="Arial" w:cs="Arial"/>
                <w:b/>
                <w:bCs/>
                <w:color w:val="000000"/>
              </w:rPr>
              <w:t>%</w:t>
            </w:r>
          </w:p>
        </w:tc>
      </w:tr>
      <w:tr w:rsidR="008821EA" w:rsidRPr="008821EA" w:rsidTr="008821EA">
        <w:trPr>
          <w:trHeight w:val="2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ايرادات اخرى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139,514 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CA3959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0.9</w:t>
            </w: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%</w:t>
            </w:r>
          </w:p>
        </w:tc>
      </w:tr>
      <w:tr w:rsidR="008821EA" w:rsidRPr="008821EA" w:rsidTr="008821EA">
        <w:trPr>
          <w:trHeight w:val="2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حصة الموازنة من ارباح القطاع العام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120,525 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CA3959" w:rsidP="00CA395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0.8</w:t>
            </w: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%</w:t>
            </w:r>
          </w:p>
        </w:tc>
      </w:tr>
      <w:tr w:rsidR="008821EA" w:rsidRPr="008821EA" w:rsidTr="008821EA">
        <w:trPr>
          <w:trHeight w:val="2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الايرادات الرأسمالية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      42,440 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0.3%</w:t>
            </w:r>
          </w:p>
        </w:tc>
      </w:tr>
      <w:tr w:rsidR="008821EA" w:rsidRPr="008821EA" w:rsidTr="008821EA">
        <w:trPr>
          <w:trHeight w:val="20"/>
        </w:trPr>
        <w:tc>
          <w:tcPr>
            <w:tcW w:w="4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المجموع العام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14,690,992 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100%</w:t>
            </w:r>
          </w:p>
        </w:tc>
      </w:tr>
    </w:tbl>
    <w:p w:rsidR="008821EA" w:rsidRDefault="008821EA">
      <w:pPr>
        <w:rPr>
          <w:rtl/>
          <w:lang w:bidi="ar-IQ"/>
        </w:rPr>
      </w:pPr>
    </w:p>
    <w:p w:rsidR="008821EA" w:rsidRDefault="00CA3959">
      <w:pPr>
        <w:rPr>
          <w:rtl/>
          <w:lang w:bidi="ar-IQ"/>
        </w:rPr>
      </w:pPr>
      <w:r w:rsidRPr="008F7C11">
        <w:rPr>
          <w:noProof/>
          <w:sz w:val="20"/>
          <w:szCs w:val="20"/>
        </w:rPr>
        <w:drawing>
          <wp:inline distT="0" distB="0" distL="0" distR="0">
            <wp:extent cx="6554549" cy="2565176"/>
            <wp:effectExtent l="0" t="0" r="17780" b="2603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7C11" w:rsidRDefault="008F7C11">
      <w:pPr>
        <w:rPr>
          <w:rtl/>
          <w:lang w:bidi="ar-IQ"/>
        </w:rPr>
      </w:pPr>
    </w:p>
    <w:tbl>
      <w:tblPr>
        <w:bidiVisual/>
        <w:tblW w:w="0" w:type="auto"/>
        <w:tblInd w:w="93" w:type="dxa"/>
        <w:tblLook w:val="04A0"/>
      </w:tblPr>
      <w:tblGrid>
        <w:gridCol w:w="2400"/>
        <w:gridCol w:w="1318"/>
        <w:gridCol w:w="1318"/>
        <w:gridCol w:w="1584"/>
        <w:gridCol w:w="1281"/>
      </w:tblGrid>
      <w:tr w:rsidR="008821EA" w:rsidRPr="008821EA" w:rsidTr="008821EA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821EA" w:rsidRPr="008821EA" w:rsidRDefault="008821EA" w:rsidP="00777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IQ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 xml:space="preserve">جدول يوضح نسبة الأنفاق الفعلي والأهمية النسبية حسب التصنيف الأقتصادي </w:t>
            </w:r>
          </w:p>
        </w:tc>
      </w:tr>
      <w:tr w:rsidR="008821EA" w:rsidRPr="008821EA" w:rsidTr="008821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21EA" w:rsidRPr="008821EA" w:rsidRDefault="008821EA" w:rsidP="00882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الفصول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21EA" w:rsidRPr="008821EA" w:rsidRDefault="008821EA" w:rsidP="00882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21EA" w:rsidRPr="008821EA" w:rsidRDefault="008821EA" w:rsidP="00777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21EA" w:rsidRPr="008821EA" w:rsidRDefault="008821EA" w:rsidP="00777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الأنفاق الفعلي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821EA" w:rsidRPr="008821EA" w:rsidRDefault="008821EA" w:rsidP="00777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الأهمية النسبية </w:t>
            </w:r>
          </w:p>
        </w:tc>
      </w:tr>
      <w:tr w:rsidR="008821EA" w:rsidRPr="008821EA" w:rsidTr="008821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تعويضات الموظفين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38,550,630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7,756,241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75%</w:t>
            </w:r>
          </w:p>
        </w:tc>
      </w:tr>
      <w:tr w:rsidR="008821EA" w:rsidRPr="008821EA" w:rsidTr="008821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الرعاية الاجتماعية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19,624,201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1,731,097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9%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</w:tr>
      <w:tr w:rsidR="008821EA" w:rsidRPr="008821EA" w:rsidTr="008821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المنح والاعانات وخدمة الدين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12,343,115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562,593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8821EA" w:rsidRPr="008821EA" w:rsidTr="008821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المستلزمات السلعية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4,750,015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134,036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8821EA" w:rsidRPr="008821EA" w:rsidTr="008821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المستلزمات الخدمية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963,556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88,681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9%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8821EA" w:rsidRPr="008821EA" w:rsidTr="008821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صيانة الموجودات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723,818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30,175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0.3%</w:t>
            </w:r>
          </w:p>
        </w:tc>
      </w:tr>
      <w:tr w:rsidR="008821EA" w:rsidRPr="008821EA" w:rsidTr="008821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النفقات الرأسمالية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499,465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11,180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0.1%</w:t>
            </w:r>
          </w:p>
        </w:tc>
      </w:tr>
      <w:tr w:rsidR="008821EA" w:rsidRPr="008821EA" w:rsidTr="008821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الالتزامات والمساهمات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595,128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352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8821EA" w:rsidRPr="008821EA" w:rsidTr="008821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 البرامج الخاصة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198,464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0%</w:t>
            </w:r>
          </w:p>
        </w:tc>
      </w:tr>
      <w:tr w:rsidR="008821EA" w:rsidRPr="008821EA" w:rsidTr="008821E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المجموع العام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78,248,392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10,314,411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8821EA" w:rsidRPr="008821EA" w:rsidRDefault="008821EA" w:rsidP="008821EA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21EA">
              <w:rPr>
                <w:rFonts w:ascii="Arial" w:eastAsia="Times New Roman" w:hAnsi="Arial" w:cs="Arial"/>
                <w:b/>
                <w:bCs/>
                <w:color w:val="000000"/>
              </w:rPr>
              <w:t>100%</w:t>
            </w:r>
          </w:p>
        </w:tc>
      </w:tr>
    </w:tbl>
    <w:p w:rsidR="008821EA" w:rsidRDefault="008821EA">
      <w:pPr>
        <w:rPr>
          <w:rtl/>
          <w:lang w:bidi="ar-IQ"/>
        </w:rPr>
      </w:pPr>
    </w:p>
    <w:p w:rsidR="008821EA" w:rsidRDefault="008821EA">
      <w:pPr>
        <w:rPr>
          <w:rtl/>
          <w:lang w:bidi="ar-IQ"/>
        </w:rPr>
      </w:pPr>
    </w:p>
    <w:p w:rsidR="00775B7F" w:rsidRDefault="008821EA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7485133" cy="2670372"/>
            <wp:effectExtent l="0" t="0" r="20955" b="1587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21EA" w:rsidRDefault="0077718E">
      <w:pPr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7485133" cy="2233402"/>
            <wp:effectExtent l="0" t="0" r="20955" b="146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bidiVisual/>
        <w:tblW w:w="0" w:type="auto"/>
        <w:tblInd w:w="93" w:type="dxa"/>
        <w:tblLook w:val="04A0"/>
      </w:tblPr>
      <w:tblGrid>
        <w:gridCol w:w="2737"/>
        <w:gridCol w:w="1318"/>
        <w:gridCol w:w="1195"/>
        <w:gridCol w:w="1499"/>
        <w:gridCol w:w="2417"/>
        <w:gridCol w:w="1567"/>
        <w:gridCol w:w="1908"/>
      </w:tblGrid>
      <w:tr w:rsidR="00775B7F" w:rsidRPr="00775B7F" w:rsidTr="00775B7F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75B7F" w:rsidRPr="00775B7F" w:rsidRDefault="00775B7F" w:rsidP="00775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ملخص تنفيذ الموازنه حسب التصنيف الأداري مع السلف والألتزامات لسنة 2015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(الجزء الاول)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اسماء الوزارات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75B7F" w:rsidRPr="00775B7F" w:rsidRDefault="0077718E" w:rsidP="00775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75B7F" w:rsidRPr="00775B7F" w:rsidRDefault="00775B7F" w:rsidP="00777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75B7F" w:rsidRPr="00775B7F" w:rsidRDefault="0077718E" w:rsidP="00775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75B7F" w:rsidRPr="00775B7F" w:rsidRDefault="0077718E" w:rsidP="00777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نسبة التنفيذ للنفقات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75B7F" w:rsidRPr="00775B7F" w:rsidRDefault="00775B7F" w:rsidP="00777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النفط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999,593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6,950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713,306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720,256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72%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وزارةالدفاع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5,057,537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1,301,436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17,615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1,319,051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26%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مجلس الوزراء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3,722,400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400,894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550,030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950,924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26%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التربية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7,272,791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1,652,120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1,096-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1,651,024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23%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23%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العلوم والتكنولوجيا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144,455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32,367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158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32,525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22%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23%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التخطيط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43,039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9,264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9,395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22%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22%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العدل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452,113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96,668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442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97,110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21%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الصحة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5,077,292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665,286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372,962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1,038,249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مجلس القضاء الاعلى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390,074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72,095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7,259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79,354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18%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التعليم العالي والبحث العلمي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2,589,664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452,265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69,931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522,196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الصناعة والمعادن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46,928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9,237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9,425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الثقافة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96,982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17,137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2,196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19,333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18%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الداخلية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11,052,559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2,209,354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14,306-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2,195,048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الموارد المائية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232,308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45,445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278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45,723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وزارةالعمل والشوؤن الاجتماعية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1,547,621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302,327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481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302,808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20%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الشباب والرياضة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95,816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16,995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1,591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18,586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18%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133357" w:rsidRDefault="00775B7F" w:rsidP="001333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3357">
              <w:rPr>
                <w:rFonts w:ascii="Arial" w:eastAsia="Times New Roman" w:hAnsi="Arial" w:cs="Arial"/>
                <w:b/>
                <w:bCs/>
                <w:color w:val="000000"/>
              </w:rPr>
              <w:t>19%</w:t>
            </w:r>
          </w:p>
        </w:tc>
      </w:tr>
    </w:tbl>
    <w:p w:rsidR="00775B7F" w:rsidRDefault="00775B7F">
      <w:pPr>
        <w:rPr>
          <w:rtl/>
          <w:lang w:bidi="ar-IQ"/>
        </w:rPr>
      </w:pPr>
    </w:p>
    <w:p w:rsidR="005F4132" w:rsidRDefault="005F4132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7905919" cy="4563908"/>
            <wp:effectExtent l="0" t="0" r="19050" b="2730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4132" w:rsidRDefault="005F4132">
      <w:pPr>
        <w:rPr>
          <w:rtl/>
          <w:lang w:bidi="ar-IQ"/>
        </w:rPr>
      </w:pPr>
    </w:p>
    <w:p w:rsidR="005F4132" w:rsidRDefault="005F4132">
      <w:pPr>
        <w:rPr>
          <w:rtl/>
          <w:lang w:bidi="ar-IQ"/>
        </w:rPr>
      </w:pPr>
    </w:p>
    <w:tbl>
      <w:tblPr>
        <w:bidiVisual/>
        <w:tblW w:w="0" w:type="auto"/>
        <w:tblInd w:w="93" w:type="dxa"/>
        <w:tblLook w:val="04A0"/>
      </w:tblPr>
      <w:tblGrid>
        <w:gridCol w:w="2321"/>
        <w:gridCol w:w="1318"/>
        <w:gridCol w:w="1195"/>
        <w:gridCol w:w="1523"/>
        <w:gridCol w:w="2476"/>
        <w:gridCol w:w="1608"/>
        <w:gridCol w:w="1967"/>
      </w:tblGrid>
      <w:tr w:rsidR="00775B7F" w:rsidRPr="00775B7F" w:rsidTr="00775B7F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775B7F" w:rsidRPr="00775B7F" w:rsidRDefault="00775B7F" w:rsidP="00775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lastRenderedPageBreak/>
              <w:t>ملخص تنفيذ الموازنه حسب التصنيف الأداري مع السلف والألتزامات لسنة 2015</w:t>
            </w:r>
            <w:r w:rsidR="005F4132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(الجزء الثاني)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اسماء الوزارات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75B7F" w:rsidRPr="00775B7F" w:rsidRDefault="00BD0020" w:rsidP="00BD0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المصدق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75B7F" w:rsidRPr="00775B7F" w:rsidRDefault="00775B7F" w:rsidP="00BD0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الفعلي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75B7F" w:rsidRPr="00775B7F" w:rsidRDefault="00775B7F" w:rsidP="00BD0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السلف والألتزامات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75B7F" w:rsidRPr="00775B7F" w:rsidRDefault="00775B7F" w:rsidP="00BD0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الأنفاق الأجمالي (فعلي+ سلف )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75B7F" w:rsidRPr="00775B7F" w:rsidRDefault="00775B7F" w:rsidP="00BD0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للنفقات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775B7F" w:rsidRPr="00775B7F" w:rsidRDefault="00775B7F" w:rsidP="00BD0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نسبة التنفيذ للانفاق العام 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حقوق الانسان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16,915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3,177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3,227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19%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19%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الاتصالات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15,941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2,976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3,010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19%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19%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رئاسة الجمهورية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84,100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14,211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1,386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15,597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19%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النقل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132,116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22,196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1,230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23,426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18%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مجلس النواب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643,230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110,835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1,784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112,619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18%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البيئة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59,698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9,202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823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10,024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15%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17%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وزارة السياحة والاثار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85,283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13,728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337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14,065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16%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دوائر غير مرتبطة بوزارة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763,009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112,805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11,268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124,073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15%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16%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البلديات والاشغال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741,769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46,367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59,430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105,796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14%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الزراعة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808,788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65,408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49,264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114,672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14%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الخارجية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415,734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24,481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28,627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53,108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الاعمار والاسكان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219,322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27,172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450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27,621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12%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13%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التجارة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4,314,024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388,486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1,645-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386,841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9%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9%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حكومة اقليم كردستان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9,296,560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740,724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740,767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المالية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17,335,830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1,416,293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496,276-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920,018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5%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المهجرين والمهاجرين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2,584,784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21,484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21,564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1%</w:t>
            </w:r>
          </w:p>
        </w:tc>
      </w:tr>
      <w:tr w:rsidR="00775B7F" w:rsidRPr="00775B7F" w:rsidTr="00775B7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75B7F" w:rsidRPr="00775B7F" w:rsidRDefault="00775B7F" w:rsidP="00775B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5B7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وزارة الكهرباء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1,910,117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5,027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290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5,317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0.3%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:rsidR="00775B7F" w:rsidRPr="00F61E55" w:rsidRDefault="00775B7F" w:rsidP="00F61E5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1E55">
              <w:rPr>
                <w:rFonts w:ascii="Arial" w:eastAsia="Times New Roman" w:hAnsi="Arial" w:cs="Arial"/>
                <w:b/>
                <w:bCs/>
                <w:color w:val="000000"/>
              </w:rPr>
              <w:t>0.3%</w:t>
            </w:r>
          </w:p>
        </w:tc>
      </w:tr>
    </w:tbl>
    <w:p w:rsidR="00775B7F" w:rsidRDefault="00775B7F" w:rsidP="00775B7F">
      <w:pPr>
        <w:rPr>
          <w:rtl/>
          <w:lang w:bidi="ar-IQ"/>
        </w:rPr>
      </w:pPr>
    </w:p>
    <w:p w:rsidR="00775B7F" w:rsidRDefault="00F61E55">
      <w:pPr>
        <w:rPr>
          <w:rtl/>
          <w:lang w:bidi="ar-IQ"/>
        </w:rPr>
      </w:pPr>
      <w:bookmarkStart w:id="0" w:name="_GoBack"/>
      <w:r w:rsidRPr="00F61E55">
        <w:rPr>
          <w:noProof/>
          <w:sz w:val="20"/>
          <w:szCs w:val="20"/>
        </w:rPr>
        <w:lastRenderedPageBreak/>
        <w:drawing>
          <wp:inline distT="0" distB="0" distL="0" distR="0">
            <wp:extent cx="7914011" cy="4636736"/>
            <wp:effectExtent l="0" t="0" r="10795" b="1206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sectPr w:rsidR="00775B7F" w:rsidSect="00DB19B9">
      <w:footerReference w:type="default" r:id="rId13"/>
      <w:pgSz w:w="16838" w:h="11906" w:orient="landscape" w:code="9"/>
      <w:pgMar w:top="1440" w:right="2160" w:bottom="2160" w:left="2160" w:header="706" w:footer="70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03F" w:rsidRDefault="000A703F" w:rsidP="00A332E8">
      <w:pPr>
        <w:spacing w:after="0" w:line="240" w:lineRule="auto"/>
      </w:pPr>
      <w:r>
        <w:separator/>
      </w:r>
    </w:p>
  </w:endnote>
  <w:endnote w:type="continuationSeparator" w:id="1">
    <w:p w:rsidR="000A703F" w:rsidRDefault="000A703F" w:rsidP="00A3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38088181"/>
      <w:docPartObj>
        <w:docPartGallery w:val="Page Numbers (Bottom of Page)"/>
        <w:docPartUnique/>
      </w:docPartObj>
    </w:sdtPr>
    <w:sdtContent>
      <w:p w:rsidR="00775B7F" w:rsidRDefault="00605F63">
        <w:pPr>
          <w:pStyle w:val="Footer"/>
          <w:jc w:val="center"/>
        </w:pPr>
        <w:r>
          <w:fldChar w:fldCharType="begin"/>
        </w:r>
        <w:r w:rsidR="00775B7F">
          <w:instrText xml:space="preserve"> PAGE   \* MERGEFORMAT </w:instrText>
        </w:r>
        <w:r>
          <w:fldChar w:fldCharType="separate"/>
        </w:r>
        <w:r w:rsidR="0027318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75B7F" w:rsidRDefault="00775B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03F" w:rsidRDefault="000A703F" w:rsidP="00A332E8">
      <w:pPr>
        <w:spacing w:after="0" w:line="240" w:lineRule="auto"/>
      </w:pPr>
      <w:r>
        <w:separator/>
      </w:r>
    </w:p>
  </w:footnote>
  <w:footnote w:type="continuationSeparator" w:id="1">
    <w:p w:rsidR="000A703F" w:rsidRDefault="000A703F" w:rsidP="00A33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71C"/>
    <w:rsid w:val="0002319A"/>
    <w:rsid w:val="000A703F"/>
    <w:rsid w:val="000C2FC4"/>
    <w:rsid w:val="00133357"/>
    <w:rsid w:val="00221730"/>
    <w:rsid w:val="002476AF"/>
    <w:rsid w:val="002572ED"/>
    <w:rsid w:val="00273189"/>
    <w:rsid w:val="0039618B"/>
    <w:rsid w:val="003D4FDE"/>
    <w:rsid w:val="00422227"/>
    <w:rsid w:val="004D476F"/>
    <w:rsid w:val="0052793A"/>
    <w:rsid w:val="005315FB"/>
    <w:rsid w:val="00534B02"/>
    <w:rsid w:val="00553033"/>
    <w:rsid w:val="00586D89"/>
    <w:rsid w:val="005F4132"/>
    <w:rsid w:val="00605F63"/>
    <w:rsid w:val="00641244"/>
    <w:rsid w:val="00643CCC"/>
    <w:rsid w:val="00775B7F"/>
    <w:rsid w:val="0077718E"/>
    <w:rsid w:val="00815E53"/>
    <w:rsid w:val="008821EA"/>
    <w:rsid w:val="008F7C11"/>
    <w:rsid w:val="0090285D"/>
    <w:rsid w:val="00960962"/>
    <w:rsid w:val="00963C55"/>
    <w:rsid w:val="00972BEB"/>
    <w:rsid w:val="00986482"/>
    <w:rsid w:val="009E571C"/>
    <w:rsid w:val="00A332E8"/>
    <w:rsid w:val="00A57B43"/>
    <w:rsid w:val="00AA4E4A"/>
    <w:rsid w:val="00AC4511"/>
    <w:rsid w:val="00B2593A"/>
    <w:rsid w:val="00B444BB"/>
    <w:rsid w:val="00B611D5"/>
    <w:rsid w:val="00B77FCB"/>
    <w:rsid w:val="00B85777"/>
    <w:rsid w:val="00BD0020"/>
    <w:rsid w:val="00BE26EA"/>
    <w:rsid w:val="00CA3959"/>
    <w:rsid w:val="00CB518E"/>
    <w:rsid w:val="00CE4BA1"/>
    <w:rsid w:val="00D353F1"/>
    <w:rsid w:val="00DB19B9"/>
    <w:rsid w:val="00DB4564"/>
    <w:rsid w:val="00E01844"/>
    <w:rsid w:val="00EB54E0"/>
    <w:rsid w:val="00EE6E7F"/>
    <w:rsid w:val="00F12553"/>
    <w:rsid w:val="00F24A81"/>
    <w:rsid w:val="00F60C81"/>
    <w:rsid w:val="00F61E55"/>
    <w:rsid w:val="00FA4FD5"/>
    <w:rsid w:val="00FB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18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2E8"/>
  </w:style>
  <w:style w:type="paragraph" w:styleId="Footer">
    <w:name w:val="footer"/>
    <w:basedOn w:val="Normal"/>
    <w:link w:val="FooterChar"/>
    <w:uiPriority w:val="99"/>
    <w:unhideWhenUsed/>
    <w:rsid w:val="00A33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584;&#1575;&#1585;\&#1578;&#1602;&#1585;&#1610;&#1585;%20&#1578;&#1606;&#1601;&#1610;&#1584;%20&#1575;&#1604;&#1605;&#1608;&#1575;&#1586;&#1606;&#1577;%20&#1604;&#1594;&#1575;&#1610;&#1577;%20&#1575;&#1584;&#1575;&#1585;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584;&#1575;&#1585;\&#1578;&#1602;&#1585;&#1610;&#1585;%20&#1578;&#1606;&#1601;&#1610;&#1584;%20&#1575;&#1604;&#1605;&#1608;&#1575;&#1586;&#1606;&#1577;%20&#1604;&#1594;&#1575;&#1610;&#1577;%20&#1575;&#1584;&#1575;&#1585;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584;&#1575;&#1585;\&#1578;&#1602;&#1585;&#1610;&#1585;%20&#1578;&#1606;&#1601;&#1610;&#1584;%20&#1575;&#1604;&#1605;&#1608;&#1575;&#1586;&#1606;&#1577;%20&#1604;&#1594;&#1575;&#1610;&#1577;%20&#1575;&#1584;&#1575;&#1585;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584;&#1575;&#1585;\&#1578;&#1602;&#1585;&#1610;&#1585;%20&#1578;&#1606;&#1601;&#1610;&#1584;%20&#1575;&#1604;&#1605;&#1608;&#1575;&#1586;&#1606;&#1577;%20&#1604;&#1594;&#1575;&#1610;&#1577;%20&#1575;&#1584;&#1575;&#1585;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584;&#1575;&#1585;\&#1578;&#1602;&#1585;&#1610;&#1585;%20&#1578;&#1606;&#1601;&#1610;&#1584;%20&#1575;&#1604;&#1605;&#1608;&#1575;&#1586;&#1606;&#1577;%20&#1604;&#1594;&#1575;&#1610;&#1577;%20&#1575;&#1584;&#1575;&#1585;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584;&#1575;&#1585;\&#1578;&#1602;&#1585;&#1610;&#1585;%20&#1578;&#1606;&#1601;&#1610;&#1584;%20&#1575;&#1604;&#1605;&#1608;&#1575;&#1586;&#1606;&#1577;%20&#1604;&#1594;&#1575;&#1610;&#1577;%20&#1575;&#1584;&#1575;&#1585;%20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roco-cobra\Desktop\&#1578;&#1602;&#1585;&#1610;&#1585;%20&#1575;&#1593;&#1583;&#1575;&#1583;%2011&#1575;&#1604;&#1605;&#1608;&#1575;&#1586;&#1606;&#1607;\2015\&#1575;&#1584;&#1575;&#1585;\&#1578;&#1602;&#1585;&#1610;&#1585;%20&#1578;&#1606;&#1601;&#1610;&#1584;%20&#1575;&#1604;&#1605;&#1608;&#1575;&#1586;&#1606;&#1577;%20&#1604;&#1594;&#1575;&#1610;&#1577;%20&#1575;&#1584;&#1575;&#1585;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IQ"/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ملخص الأنفاق العام مقارنه بالأعتمادات المصدقه </a:t>
            </a:r>
            <a:endParaRPr lang="en-US" sz="1100"/>
          </a:p>
        </c:rich>
      </c:tx>
      <c:layout>
        <c:manualLayout>
          <c:xMode val="edge"/>
          <c:yMode val="edge"/>
          <c:x val="0.52116033495709058"/>
          <c:y val="6.4150876186846256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000" b="1"/>
                  </a:pPr>
                  <a:endParaRPr lang="ar-IQ"/>
                </a:p>
              </c:txPr>
            </c:dLbl>
            <c:dLbl>
              <c:idx val="1"/>
              <c:spPr>
                <a:solidFill>
                  <a:schemeClr val="accent5">
                    <a:lumMod val="20000"/>
                    <a:lumOff val="80000"/>
                  </a:schemeClr>
                </a:solidFill>
                <a:ln>
                  <a:solidFill>
                    <a:schemeClr val="accent5">
                      <a:alpha val="98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000" b="1"/>
                  </a:pPr>
                  <a:endParaRPr lang="ar-IQ"/>
                </a:p>
              </c:txPr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alpha val="98000"/>
                  </a:schemeClr>
                </a:solidFill>
              </a:ln>
            </c:spPr>
            <c:txPr>
              <a:bodyPr/>
              <a:lstStyle/>
              <a:p>
                <a:pPr>
                  <a:defRPr sz="1000"/>
                </a:pPr>
                <a:endParaRPr lang="ar-IQ"/>
              </a:p>
            </c:txPr>
            <c:showLegendKey val="1"/>
            <c:showVal val="1"/>
          </c:dLbls>
          <c:cat>
            <c:strRef>
              <c:f>'ورقه عمل'!$A$28:$A$29</c:f>
              <c:strCache>
                <c:ptCount val="2"/>
                <c:pt idx="0">
                  <c:v>الاعتمادات المصدقة</c:v>
                </c:pt>
                <c:pt idx="1">
                  <c:v>الانفاق الاجمالي (المصرف الفعلي مضافأ اليه السلف)</c:v>
                </c:pt>
              </c:strCache>
            </c:strRef>
          </c:cat>
          <c:val>
            <c:numRef>
              <c:f>'ورقه عمل'!$B$28:$B$29</c:f>
              <c:numCache>
                <c:formatCode>_-* #,##0_-;_-* #,##0\-;_-* "-"??_-;_-@_-</c:formatCode>
                <c:ptCount val="2"/>
                <c:pt idx="0">
                  <c:v>78248392</c:v>
                </c:pt>
                <c:pt idx="1">
                  <c:v>11693180.08343095</c:v>
                </c:pt>
              </c:numCache>
            </c:numRef>
          </c:val>
        </c:ser>
        <c:dLbls/>
        <c:shape val="cylinder"/>
        <c:axId val="47094784"/>
        <c:axId val="47108864"/>
        <c:axId val="0"/>
      </c:bar3DChart>
      <c:catAx>
        <c:axId val="47094784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47108864"/>
        <c:crosses val="autoZero"/>
        <c:auto val="1"/>
        <c:lblAlgn val="ctr"/>
        <c:lblOffset val="100"/>
      </c:catAx>
      <c:valAx>
        <c:axId val="47108864"/>
        <c:scaling>
          <c:orientation val="minMax"/>
        </c:scaling>
        <c:axPos val="l"/>
        <c:majorGridlines/>
        <c:numFmt formatCode="_-* #,##0_-;_-* #,##0\-;_-* &quot;-&quot;??_-;_-@_-" sourceLinked="1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4709478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IQ"/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الملخص التنفيذي للأيرادات</a:t>
            </a:r>
            <a:r>
              <a:rPr lang="ar-IQ" sz="11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والمصروفات </a:t>
            </a:r>
            <a:endParaRPr lang="en-US" sz="1100"/>
          </a:p>
        </c:rich>
      </c:tx>
      <c:layout>
        <c:manualLayout>
          <c:xMode val="edge"/>
          <c:yMode val="edge"/>
          <c:x val="0.57710730847518998"/>
          <c:y val="4.7447846445116099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AngAx val="1"/>
    </c:view3D>
    <c:plotArea>
      <c:layout>
        <c:manualLayout>
          <c:layoutTarget val="inner"/>
          <c:xMode val="edge"/>
          <c:yMode val="edge"/>
          <c:x val="0.15465997038831686"/>
          <c:y val="2.9790606071148324E-2"/>
          <c:w val="0.82409225431372368"/>
          <c:h val="0.80889027456781715"/>
        </c:manualLayout>
      </c:layout>
      <c:bar3DChart>
        <c:barDir val="col"/>
        <c:grouping val="clustered"/>
        <c:ser>
          <c:idx val="0"/>
          <c:order val="0"/>
          <c:dLbls>
            <c:dLbl>
              <c:idx val="2"/>
              <c:layout>
                <c:manualLayout>
                  <c:x val="-8.1914890643621022E-3"/>
                  <c:y val="-3.7637473093158035E-2"/>
                </c:manualLayout>
              </c:layout>
              <c:showLegendKey val="1"/>
              <c:showVal val="1"/>
            </c:dLbl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accent5">
                    <a:lumMod val="20000"/>
                    <a:lumOff val="80000"/>
                  </a:schemeClr>
                </a:solidFill>
              </a:ln>
            </c:spPr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</c:dLbls>
          <c:cat>
            <c:strRef>
              <c:f>'ورقه عمل'!$A$4:$A$7</c:f>
              <c:strCache>
                <c:ptCount val="4"/>
                <c:pt idx="0">
                  <c:v>الأيرادات </c:v>
                </c:pt>
                <c:pt idx="1">
                  <c:v>المصروفات</c:v>
                </c:pt>
                <c:pt idx="2">
                  <c:v>السلف </c:v>
                </c:pt>
                <c:pt idx="3">
                  <c:v>الأنفاق الأجمالي( المصرف الفعلي مضافآ اليه السلف )</c:v>
                </c:pt>
              </c:strCache>
            </c:strRef>
          </c:cat>
          <c:val>
            <c:numRef>
              <c:f>'ورقه عمل'!$B$4:$B$7</c:f>
              <c:numCache>
                <c:formatCode>_-* #,##0_-;_-* #,##0\-;_-* "-"??_-;_-@_-</c:formatCode>
                <c:ptCount val="4"/>
                <c:pt idx="0">
                  <c:v>14690992.240339899</c:v>
                </c:pt>
                <c:pt idx="1">
                  <c:v>10314411.496507598</c:v>
                </c:pt>
                <c:pt idx="2">
                  <c:v>1378768.5869233501</c:v>
                </c:pt>
                <c:pt idx="3">
                  <c:v>11693180.08343095</c:v>
                </c:pt>
              </c:numCache>
            </c:numRef>
          </c:val>
        </c:ser>
        <c:dLbls/>
        <c:shape val="cylinder"/>
        <c:axId val="105199104"/>
        <c:axId val="105200640"/>
        <c:axId val="0"/>
      </c:bar3DChart>
      <c:catAx>
        <c:axId val="105199104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05200640"/>
        <c:crosses val="autoZero"/>
        <c:auto val="1"/>
        <c:lblAlgn val="ctr"/>
        <c:lblOffset val="100"/>
      </c:catAx>
      <c:valAx>
        <c:axId val="105200640"/>
        <c:scaling>
          <c:orientation val="minMax"/>
        </c:scaling>
        <c:axPos val="l"/>
        <c:majorGridlines/>
        <c:numFmt formatCode="_-* #,##0_-;_-* #,##0\-;_-* &quot;-&quot;??_-;_-@_-" sourceLinked="1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0519910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IQ"/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للأيرادات</a:t>
            </a:r>
            <a:endParaRPr lang="en-US" sz="1100"/>
          </a:p>
        </c:rich>
      </c:tx>
      <c:layout>
        <c:manualLayout>
          <c:xMode val="edge"/>
          <c:yMode val="edge"/>
          <c:x val="0.61411296412982286"/>
          <c:y val="6.5371681226155234E-2"/>
        </c:manualLayout>
      </c:layout>
      <c:overlay val="1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AngAx val="1"/>
    </c:view3D>
    <c:plotArea>
      <c:layout/>
      <c:bar3DChart>
        <c:barDir val="col"/>
        <c:grouping val="clustered"/>
        <c:ser>
          <c:idx val="1"/>
          <c:order val="0"/>
          <c:tx>
            <c:strRef>
              <c:f>'ورقه عمل'!$C$13</c:f>
              <c:strCache>
                <c:ptCount val="1"/>
                <c:pt idx="0">
                  <c:v>نسبة الأهمية النسبية 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LegendKey val="1"/>
            <c:showVal val="1"/>
          </c:dLbls>
          <c:cat>
            <c:strRef>
              <c:f>'ورقه عمل'!$A$14:$A$21</c:f>
              <c:strCache>
                <c:ptCount val="8"/>
                <c:pt idx="0">
                  <c:v>الايرادات النفطية والثروات المعدنية</c:v>
                </c:pt>
                <c:pt idx="1">
                  <c:v>الايرادات التحويلية</c:v>
                </c:pt>
                <c:pt idx="2">
                  <c:v>الضرائب على الدخول والثروات</c:v>
                </c:pt>
                <c:pt idx="3">
                  <c:v>الرسوم</c:v>
                </c:pt>
                <c:pt idx="4">
                  <c:v>الضرائب السلعية ورسوم الانتاج</c:v>
                </c:pt>
                <c:pt idx="5">
                  <c:v>ايرادات اخرى</c:v>
                </c:pt>
                <c:pt idx="6">
                  <c:v>حصة الموازنة من ارباح القطاع العام</c:v>
                </c:pt>
                <c:pt idx="7">
                  <c:v>الايرادات الرأسمالية</c:v>
                </c:pt>
              </c:strCache>
            </c:strRef>
          </c:cat>
          <c:val>
            <c:numRef>
              <c:f>'ورقه عمل'!$C$14:$C$21</c:f>
              <c:numCache>
                <c:formatCode>0%</c:formatCode>
                <c:ptCount val="8"/>
                <c:pt idx="0">
                  <c:v>0.76033610531997398</c:v>
                </c:pt>
                <c:pt idx="1">
                  <c:v>0.18527288578220885</c:v>
                </c:pt>
                <c:pt idx="2" formatCode="0.0%">
                  <c:v>1.4607319026877653E-2</c:v>
                </c:pt>
                <c:pt idx="3" formatCode="0.0%">
                  <c:v>1.0257982602778047E-2</c:v>
                </c:pt>
                <c:pt idx="4" formatCode="0.0%">
                  <c:v>8.9363017232090333E-3</c:v>
                </c:pt>
                <c:pt idx="5" formatCode="0.0%">
                  <c:v>9.4965960317952066E-3</c:v>
                </c:pt>
                <c:pt idx="6" formatCode="0.0%">
                  <c:v>8.2039746519523352E-3</c:v>
                </c:pt>
                <c:pt idx="7" formatCode="0.0%">
                  <c:v>2.8888348612078562E-3</c:v>
                </c:pt>
              </c:numCache>
            </c:numRef>
          </c:val>
        </c:ser>
        <c:dLbls/>
        <c:shape val="cylinder"/>
        <c:axId val="105208448"/>
        <c:axId val="105234816"/>
        <c:axId val="0"/>
      </c:bar3DChart>
      <c:catAx>
        <c:axId val="105208448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05234816"/>
        <c:crosses val="autoZero"/>
        <c:auto val="1"/>
        <c:lblAlgn val="ctr"/>
        <c:lblOffset val="100"/>
      </c:catAx>
      <c:valAx>
        <c:axId val="10523481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10520844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IQ"/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الأهمية النسبية للنفقات حسب التصنيف الاقتصادي</a:t>
            </a:r>
            <a:r>
              <a:rPr lang="ar-IQ" sz="11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100"/>
          </a:p>
        </c:rich>
      </c:tx>
      <c:layout>
        <c:manualLayout>
          <c:xMode val="edge"/>
          <c:yMode val="edge"/>
          <c:x val="0.52641446532893055"/>
          <c:y val="9.5549849452397084E-2"/>
        </c:manualLayout>
      </c:layout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'ورقه عمل'!$E$37</c:f>
              <c:strCache>
                <c:ptCount val="1"/>
                <c:pt idx="0">
                  <c:v>الأهمية النسبية 2015 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Val val="1"/>
          </c:dLbls>
          <c:cat>
            <c:strRef>
              <c:f>'ورقه عمل'!$A$38:$A$46</c:f>
              <c:strCache>
                <c:ptCount val="9"/>
                <c:pt idx="0">
                  <c:v>  تعويضات الموظفين</c:v>
                </c:pt>
                <c:pt idx="1">
                  <c:v>  الرعاية الاجتماعية</c:v>
                </c:pt>
                <c:pt idx="2">
                  <c:v>  المنح والاعانات وخدمة الدين</c:v>
                </c:pt>
                <c:pt idx="3">
                  <c:v>  المستلزمات السلعية</c:v>
                </c:pt>
                <c:pt idx="4">
                  <c:v>  المستلزمات الخدمية</c:v>
                </c:pt>
                <c:pt idx="5">
                  <c:v>  صيانة الموجودات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عمل'!$E$38:$E$46</c:f>
              <c:numCache>
                <c:formatCode>0%</c:formatCode>
                <c:ptCount val="9"/>
                <c:pt idx="0">
                  <c:v>0.75198095011987176</c:v>
                </c:pt>
                <c:pt idx="1">
                  <c:v>0.16783283166700783</c:v>
                </c:pt>
                <c:pt idx="2">
                  <c:v>5.4544337550327109E-2</c:v>
                </c:pt>
                <c:pt idx="3">
                  <c:v>1.2995069279753283E-2</c:v>
                </c:pt>
                <c:pt idx="4">
                  <c:v>8.5978134388991576E-3</c:v>
                </c:pt>
                <c:pt idx="5" formatCode="0.0%">
                  <c:v>2.9254836472732315E-3</c:v>
                </c:pt>
                <c:pt idx="6" formatCode="0.0%">
                  <c:v>1.0838756836282254E-3</c:v>
                </c:pt>
                <c:pt idx="7">
                  <c:v>3.4125986565416908E-5</c:v>
                </c:pt>
                <c:pt idx="8">
                  <c:v>5.5126266795979878E-6</c:v>
                </c:pt>
              </c:numCache>
            </c:numRef>
          </c:val>
        </c:ser>
        <c:dLbls/>
        <c:shape val="cylinder"/>
        <c:axId val="98185600"/>
        <c:axId val="98187136"/>
        <c:axId val="0"/>
      </c:bar3DChart>
      <c:catAx>
        <c:axId val="98185600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98187136"/>
        <c:crosses val="autoZero"/>
        <c:auto val="1"/>
        <c:lblAlgn val="ctr"/>
        <c:lblOffset val="100"/>
      </c:catAx>
      <c:valAx>
        <c:axId val="9818713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9818560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IQ"/>
  <c:chart>
    <c:title>
      <c:tx>
        <c:rich>
          <a:bodyPr/>
          <a:lstStyle/>
          <a:p>
            <a:pPr>
              <a:defRPr sz="10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الانفاق حسب التصنيف الاقتصادي</a:t>
            </a:r>
            <a:r>
              <a:rPr lang="ar-IQ" sz="1000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endParaRPr lang="ar-IQ" sz="1000"/>
          </a:p>
        </c:rich>
      </c:tx>
      <c:layout>
        <c:manualLayout>
          <c:xMode val="edge"/>
          <c:yMode val="edge"/>
          <c:x val="0.60955662349578488"/>
          <c:y val="0.10228160632607873"/>
        </c:manualLayout>
      </c:layout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AngAx val="1"/>
    </c:view3D>
    <c:plotArea>
      <c:layout/>
      <c:bar3DChart>
        <c:barDir val="col"/>
        <c:grouping val="clustered"/>
        <c:ser>
          <c:idx val="1"/>
          <c:order val="0"/>
          <c:tx>
            <c:strRef>
              <c:f>'ورقه عمل'!$D$52</c:f>
              <c:strCache>
                <c:ptCount val="1"/>
                <c:pt idx="0">
                  <c:v>نسبة الأنفاق الفعلي 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1"/>
                </a:pPr>
                <a:endParaRPr lang="ar-IQ"/>
              </a:p>
            </c:txPr>
            <c:showVal val="1"/>
          </c:dLbls>
          <c:cat>
            <c:strRef>
              <c:f>'ورقه عمل'!$A$53:$A$61</c:f>
              <c:strCache>
                <c:ptCount val="9"/>
                <c:pt idx="0">
                  <c:v>   تعويضات الموظفين</c:v>
                </c:pt>
                <c:pt idx="1">
                  <c:v>  المستلزمات الخدمية</c:v>
                </c:pt>
                <c:pt idx="2">
                  <c:v>  الرعاية الاجتماعية</c:v>
                </c:pt>
                <c:pt idx="3">
                  <c:v>  المنح والاعانات وخدمة الدين</c:v>
                </c:pt>
                <c:pt idx="4">
                  <c:v>  صيانة الموجودات</c:v>
                </c:pt>
                <c:pt idx="5">
                  <c:v>  المستلزمات السلعية</c:v>
                </c:pt>
                <c:pt idx="6">
                  <c:v>  النفقات الرأسمالية</c:v>
                </c:pt>
                <c:pt idx="7">
                  <c:v>  الالتزامات والمساهمات</c:v>
                </c:pt>
                <c:pt idx="8">
                  <c:v>  البرامج الخاصة</c:v>
                </c:pt>
              </c:strCache>
            </c:strRef>
          </c:cat>
          <c:val>
            <c:numRef>
              <c:f>'ورقه عمل'!$D$53:$D$61</c:f>
              <c:numCache>
                <c:formatCode>0%</c:formatCode>
                <c:ptCount val="9"/>
                <c:pt idx="0">
                  <c:v>0.20119621798842488</c:v>
                </c:pt>
                <c:pt idx="1">
                  <c:v>9.2035528582676079E-2</c:v>
                </c:pt>
                <c:pt idx="2">
                  <c:v>8.8212350069060669E-2</c:v>
                </c:pt>
                <c:pt idx="3">
                  <c:v>4.5579478300128054E-2</c:v>
                </c:pt>
                <c:pt idx="4">
                  <c:v>4.1688162168224595E-2</c:v>
                </c:pt>
                <c:pt idx="5">
                  <c:v>2.8218119727411395E-2</c:v>
                </c:pt>
                <c:pt idx="6">
                  <c:v>2.2383029465528125E-2</c:v>
                </c:pt>
                <c:pt idx="7" formatCode="0.0%">
                  <c:v>5.9145170141549394E-4</c:v>
                </c:pt>
                <c:pt idx="8" formatCode="0.00%">
                  <c:v>2.8649780312802326E-4</c:v>
                </c:pt>
              </c:numCache>
            </c:numRef>
          </c:val>
        </c:ser>
        <c:dLbls/>
        <c:shape val="cylinder"/>
        <c:axId val="98203520"/>
        <c:axId val="98205056"/>
        <c:axId val="0"/>
      </c:bar3DChart>
      <c:catAx>
        <c:axId val="98203520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98205056"/>
        <c:crosses val="autoZero"/>
        <c:auto val="1"/>
        <c:lblAlgn val="ctr"/>
        <c:lblOffset val="100"/>
      </c:catAx>
      <c:valAx>
        <c:axId val="9820505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000" b="1"/>
            </a:pPr>
            <a:endParaRPr lang="ar-IQ"/>
          </a:p>
        </c:txPr>
        <c:crossAx val="9820352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IQ"/>
  <c:chart>
    <c:title>
      <c:tx>
        <c:rich>
          <a:bodyPr/>
          <a:lstStyle/>
          <a:p>
            <a:pPr>
              <a:defRPr sz="105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05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 (الجزء الأول)</a:t>
            </a:r>
            <a:endParaRPr lang="ar-IQ" sz="1050"/>
          </a:p>
        </c:rich>
      </c:tx>
      <c:layout>
        <c:manualLayout>
          <c:xMode val="edge"/>
          <c:yMode val="edge"/>
          <c:x val="0.60517442690723233"/>
          <c:y val="5.287324335605955E-2"/>
        </c:manualLayout>
      </c:layout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2015</c:v>
                </c:pt>
              </c:strCache>
            </c:strRef>
          </c:tx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900" b="1"/>
                </a:pPr>
                <a:endParaRPr lang="ar-IQ"/>
              </a:p>
            </c:txPr>
            <c:showLegendKey val="1"/>
            <c:showVal val="1"/>
          </c:dLbls>
          <c:cat>
            <c:strRef>
              <c:f>'ورقه عمل'!$A$67:$A$82</c:f>
              <c:strCache>
                <c:ptCount val="16"/>
                <c:pt idx="0">
                  <c:v> وزارة النفط</c:v>
                </c:pt>
                <c:pt idx="1">
                  <c:v> وزارةالدفاع</c:v>
                </c:pt>
                <c:pt idx="2">
                  <c:v> مجلس الوزراء</c:v>
                </c:pt>
                <c:pt idx="3">
                  <c:v> وزارة التربية</c:v>
                </c:pt>
                <c:pt idx="4">
                  <c:v> وزارة العلوم والتكنولوجيا</c:v>
                </c:pt>
                <c:pt idx="5">
                  <c:v> وزارة التخطيط</c:v>
                </c:pt>
                <c:pt idx="6">
                  <c:v> وزارة العدل</c:v>
                </c:pt>
                <c:pt idx="7">
                  <c:v> وزارة الصحة</c:v>
                </c:pt>
                <c:pt idx="8">
                  <c:v> مجلس القضاء الاعلى</c:v>
                </c:pt>
                <c:pt idx="9">
                  <c:v> وزارة التعليم العالي والبحث العلمي</c:v>
                </c:pt>
                <c:pt idx="10">
                  <c:v> وزارة الصناعة والمعادن</c:v>
                </c:pt>
                <c:pt idx="11">
                  <c:v> وزارة الثقافة</c:v>
                </c:pt>
                <c:pt idx="12">
                  <c:v> وزارة الداخلية</c:v>
                </c:pt>
                <c:pt idx="13">
                  <c:v> وزارة الموارد المائية</c:v>
                </c:pt>
                <c:pt idx="14">
                  <c:v> وزارةالعمل والشوؤن الاجتماعية</c:v>
                </c:pt>
                <c:pt idx="15">
                  <c:v> وزارة الشباب والرياضة</c:v>
                </c:pt>
              </c:strCache>
            </c:strRef>
          </c:cat>
          <c:val>
            <c:numRef>
              <c:f>'ورقه عمل'!$G$67:$G$82</c:f>
              <c:numCache>
                <c:formatCode>0%</c:formatCode>
                <c:ptCount val="16"/>
                <c:pt idx="0">
                  <c:v>0.72054916779481359</c:v>
                </c:pt>
                <c:pt idx="1">
                  <c:v>0.26080901063402995</c:v>
                </c:pt>
                <c:pt idx="2">
                  <c:v>0.25545985942096766</c:v>
                </c:pt>
                <c:pt idx="3">
                  <c:v>0.2270138712871029</c:v>
                </c:pt>
                <c:pt idx="4">
                  <c:v>0.22515870563261911</c:v>
                </c:pt>
                <c:pt idx="5">
                  <c:v>0.21828206988389603</c:v>
                </c:pt>
                <c:pt idx="6">
                  <c:v>0.21479123305678011</c:v>
                </c:pt>
                <c:pt idx="7">
                  <c:v>0.20448869738460584</c:v>
                </c:pt>
                <c:pt idx="8">
                  <c:v>0.20343325126001735</c:v>
                </c:pt>
                <c:pt idx="9">
                  <c:v>0.20164618691619343</c:v>
                </c:pt>
                <c:pt idx="10">
                  <c:v>0.20083000603051482</c:v>
                </c:pt>
                <c:pt idx="11">
                  <c:v>0.19934924064259352</c:v>
                </c:pt>
                <c:pt idx="12">
                  <c:v>0.19860089621661373</c:v>
                </c:pt>
                <c:pt idx="13">
                  <c:v>0.19681957939029221</c:v>
                </c:pt>
                <c:pt idx="14">
                  <c:v>0.1956604438573786</c:v>
                </c:pt>
                <c:pt idx="15">
                  <c:v>0.19397135531643986</c:v>
                </c:pt>
              </c:numCache>
            </c:numRef>
          </c:val>
        </c:ser>
        <c:dLbls/>
        <c:shape val="cylinder"/>
        <c:axId val="83055744"/>
        <c:axId val="83057280"/>
        <c:axId val="0"/>
      </c:bar3DChart>
      <c:catAx>
        <c:axId val="830557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ar-IQ"/>
          </a:p>
        </c:txPr>
        <c:crossAx val="83057280"/>
        <c:crosses val="autoZero"/>
        <c:auto val="1"/>
        <c:lblAlgn val="ctr"/>
        <c:lblOffset val="100"/>
      </c:catAx>
      <c:valAx>
        <c:axId val="8305728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ar-IQ"/>
          </a:p>
        </c:txPr>
        <c:crossAx val="83055744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IQ"/>
  <c:chart>
    <c:title>
      <c:tx>
        <c:rich>
          <a:bodyPr/>
          <a:lstStyle/>
          <a:p>
            <a:pPr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IQ" sz="1100">
                <a:solidFill>
                  <a:schemeClr val="dk1"/>
                </a:solidFill>
                <a:latin typeface="+mn-lt"/>
                <a:ea typeface="+mn-ea"/>
                <a:cs typeface="+mn-cs"/>
              </a:rPr>
              <a:t>مخطط يوضح نسبة التنفيذ للأنفاق العام للوزارات (الجزء الثاني) </a:t>
            </a:r>
            <a:endParaRPr lang="ar-IQ" sz="1100"/>
          </a:p>
        </c:rich>
      </c:tx>
      <c:layout>
        <c:manualLayout>
          <c:xMode val="edge"/>
          <c:yMode val="edge"/>
          <c:x val="0.59419080478215502"/>
          <c:y val="5.4787015477331884E-2"/>
        </c:manualLayout>
      </c:layout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'ورقه عمل'!$G$66</c:f>
              <c:strCache>
                <c:ptCount val="1"/>
                <c:pt idx="0">
                  <c:v>نسبة التنفيذ للانفاق العام </c:v>
                </c:pt>
              </c:strCache>
            </c:strRef>
          </c:tx>
          <c:dLbls>
            <c:spPr>
              <a:solidFill>
                <a:schemeClr val="tx2">
                  <a:lumMod val="20000"/>
                  <a:lumOff val="80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900" b="1"/>
                </a:pPr>
                <a:endParaRPr lang="ar-IQ"/>
              </a:p>
            </c:txPr>
            <c:showLegendKey val="1"/>
            <c:showVal val="1"/>
          </c:dLbls>
          <c:cat>
            <c:strRef>
              <c:f>'ورقه عمل'!$A$83:$A$99</c:f>
              <c:strCache>
                <c:ptCount val="17"/>
                <c:pt idx="0">
                  <c:v> وزارة حقوق الانسان</c:v>
                </c:pt>
                <c:pt idx="1">
                  <c:v> وزارة الاتصالات</c:v>
                </c:pt>
                <c:pt idx="2">
                  <c:v> رئاسة الجمهورية</c:v>
                </c:pt>
                <c:pt idx="3">
                  <c:v> وزارة النقل</c:v>
                </c:pt>
                <c:pt idx="4">
                  <c:v>مجلس النواب</c:v>
                </c:pt>
                <c:pt idx="5">
                  <c:v> وزارة البيئة</c:v>
                </c:pt>
                <c:pt idx="6">
                  <c:v>وزارة السياحة والاثار</c:v>
                </c:pt>
                <c:pt idx="7">
                  <c:v> دوائر غير مرتبطة بوزارة</c:v>
                </c:pt>
                <c:pt idx="8">
                  <c:v> وزارة البلديات والاشغال</c:v>
                </c:pt>
                <c:pt idx="9">
                  <c:v> وزارة الزراعة</c:v>
                </c:pt>
                <c:pt idx="10">
                  <c:v> وزارة الخارجية</c:v>
                </c:pt>
                <c:pt idx="11">
                  <c:v> وزارة الاعمار والاسكان</c:v>
                </c:pt>
                <c:pt idx="12">
                  <c:v> وزارة التجارة</c:v>
                </c:pt>
                <c:pt idx="13">
                  <c:v> حكومة اقليم كردستان</c:v>
                </c:pt>
                <c:pt idx="14">
                  <c:v> وزارة المالية</c:v>
                </c:pt>
                <c:pt idx="15">
                  <c:v> وزارة المهجرين والمهاجرين</c:v>
                </c:pt>
                <c:pt idx="16">
                  <c:v> وزارة الكهرباء</c:v>
                </c:pt>
              </c:strCache>
            </c:strRef>
          </c:cat>
          <c:val>
            <c:numRef>
              <c:f>'ورقه عمل'!$G$83:$G$99</c:f>
              <c:numCache>
                <c:formatCode>0%</c:formatCode>
                <c:ptCount val="17"/>
                <c:pt idx="0">
                  <c:v>0.19075292320425655</c:v>
                </c:pt>
                <c:pt idx="1">
                  <c:v>0.18879858183300927</c:v>
                </c:pt>
                <c:pt idx="2">
                  <c:v>0.18546203866825212</c:v>
                </c:pt>
                <c:pt idx="3">
                  <c:v>0.17731758917078935</c:v>
                </c:pt>
                <c:pt idx="4">
                  <c:v>0.17508295795594114</c:v>
                </c:pt>
                <c:pt idx="5">
                  <c:v>0.16791948381855343</c:v>
                </c:pt>
                <c:pt idx="6">
                  <c:v>0.16492558656473158</c:v>
                </c:pt>
                <c:pt idx="7">
                  <c:v>0.16260995142521253</c:v>
                </c:pt>
                <c:pt idx="8">
                  <c:v>0.14262711157516694</c:v>
                </c:pt>
                <c:pt idx="9">
                  <c:v>0.14178252039306963</c:v>
                </c:pt>
                <c:pt idx="10">
                  <c:v>0.1277457594460665</c:v>
                </c:pt>
                <c:pt idx="11">
                  <c:v>0.12594006989722878</c:v>
                </c:pt>
                <c:pt idx="12">
                  <c:v>8.967064702123724E-2</c:v>
                </c:pt>
                <c:pt idx="13">
                  <c:v>7.9681807289685644E-2</c:v>
                </c:pt>
                <c:pt idx="14">
                  <c:v>5.3070301802727884E-2</c:v>
                </c:pt>
                <c:pt idx="15">
                  <c:v>8.3426071594376976E-3</c:v>
                </c:pt>
                <c:pt idx="16">
                  <c:v>2.783666183406567E-3</c:v>
                </c:pt>
              </c:numCache>
            </c:numRef>
          </c:val>
        </c:ser>
        <c:dLbls/>
        <c:shape val="cylinder"/>
        <c:axId val="83098240"/>
        <c:axId val="103027072"/>
        <c:axId val="0"/>
      </c:bar3DChart>
      <c:catAx>
        <c:axId val="830982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ar-IQ"/>
          </a:p>
        </c:txPr>
        <c:crossAx val="103027072"/>
        <c:crosses val="autoZero"/>
        <c:auto val="1"/>
        <c:lblAlgn val="ctr"/>
        <c:lblOffset val="100"/>
      </c:catAx>
      <c:valAx>
        <c:axId val="103027072"/>
        <c:scaling>
          <c:orientation val="minMax"/>
          <c:max val="0.8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ar-IQ"/>
          </a:p>
        </c:txPr>
        <c:crossAx val="83098240"/>
        <c:crosses val="autoZero"/>
        <c:crossBetween val="between"/>
        <c:majorUnit val="0.1"/>
        <c:minorUnit val="2.0000000000000007E-2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6e90f3-28f6-43a2-9886-69104c66b47c">VMCDCHTSR4DK-1850682920-146</_dlc_DocId>
    <_dlc_DocIdUrl xmlns="536e90f3-28f6-43a2-9886-69104c66b47c">
      <Url>http://cms-mof/_layouts/DocIdRedir.aspx?ID=VMCDCHTSR4DK-1850682920-146</Url>
      <Description>VMCDCHTSR4DK-1850682920-146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9202C8529F4FB773F26894CE7BF4" ma:contentTypeVersion="1" ma:contentTypeDescription="Create a new document." ma:contentTypeScope="" ma:versionID="9fee187d75163c87eb29a6891418c434">
  <xsd:schema xmlns:xsd="http://www.w3.org/2001/XMLSchema" xmlns:xs="http://www.w3.org/2001/XMLSchema" xmlns:p="http://schemas.microsoft.com/office/2006/metadata/properties" xmlns:ns2="536e90f3-28f6-43a2-9886-69104c66b47c" targetNamespace="http://schemas.microsoft.com/office/2006/metadata/properties" ma:root="true" ma:fieldsID="c35a9c70863703df635a0776bfb135b7" ns2:_="">
    <xsd:import namespace="536e90f3-28f6-43a2-9886-69104c66b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e90f3-28f6-43a2-9886-69104c66b4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F65BD7-5701-454B-85DA-E9B86670F5D3}"/>
</file>

<file path=customXml/itemProps2.xml><?xml version="1.0" encoding="utf-8"?>
<ds:datastoreItem xmlns:ds="http://schemas.openxmlformats.org/officeDocument/2006/customXml" ds:itemID="{A12593C2-0883-466D-8184-5805E54F2EDC}"/>
</file>

<file path=customXml/itemProps3.xml><?xml version="1.0" encoding="utf-8"?>
<ds:datastoreItem xmlns:ds="http://schemas.openxmlformats.org/officeDocument/2006/customXml" ds:itemID="{67810FAA-8CB8-4DA6-AB01-4EFCCCE507A4}"/>
</file>

<file path=customXml/itemProps4.xml><?xml version="1.0" encoding="utf-8"?>
<ds:datastoreItem xmlns:ds="http://schemas.openxmlformats.org/officeDocument/2006/customXml" ds:itemID="{6241650C-DA76-4F2E-803A-8F3043B57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تنفيذ الموازنة لغاية اذار 2015</dc:title>
  <dc:creator>DR.Ahmed Saker 2o1O</dc:creator>
  <cp:lastModifiedBy>MOF</cp:lastModifiedBy>
  <cp:revision>42</cp:revision>
  <cp:lastPrinted>2015-05-31T07:41:00Z</cp:lastPrinted>
  <dcterms:created xsi:type="dcterms:W3CDTF">2015-04-22T08:31:00Z</dcterms:created>
  <dcterms:modified xsi:type="dcterms:W3CDTF">2015-06-03T10:41:00Z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0x010100970E9202C8529F4FB773F26894CE7BF4</vt:lpwstr>
  </property>
  <property fmtid="{D5CDD505-2E9C-101B-9397-08002B2CF9AE}" pid="4" name="_dlc_DocIdItemGuid">
    <vt:lpwstr>f0180d72-2a36-4d95-8c49-648be2b12e63</vt:lpwstr>
  </property>
</Properties>
</file>