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Default="00A332E8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r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A332E8" w:rsidRPr="00B444BB" w:rsidRDefault="00960962" w:rsidP="000C1604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0C1604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حزيران</w:t>
      </w:r>
      <w:r w:rsidR="00BB7F6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tbl>
      <w:tblPr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976"/>
        <w:gridCol w:w="3090"/>
      </w:tblGrid>
      <w:tr w:rsidR="00E86C0E" w:rsidRPr="00E86C0E" w:rsidTr="00875C1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C0E" w:rsidRPr="00E86C0E" w:rsidRDefault="00E86C0E" w:rsidP="00875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6C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ملخص الانفاق العام </w:t>
            </w:r>
          </w:p>
        </w:tc>
      </w:tr>
      <w:tr w:rsidR="00E86C0E" w:rsidRPr="00E86C0E" w:rsidTr="00875C1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C0E" w:rsidRPr="00E86C0E" w:rsidRDefault="00E86C0E" w:rsidP="00875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6C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86C0E" w:rsidRPr="00E86C0E" w:rsidRDefault="00E86C0E" w:rsidP="00875C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6C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E86C0E" w:rsidRPr="00E86C0E" w:rsidTr="00875C16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C0E" w:rsidRPr="00E86C0E" w:rsidRDefault="00E86C0E" w:rsidP="00875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  <w:r w:rsidRPr="00E86C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C0E" w:rsidRPr="00E86C0E" w:rsidRDefault="00E86C0E" w:rsidP="00875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6C0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78,248,392 </w:t>
            </w:r>
          </w:p>
        </w:tc>
      </w:tr>
      <w:tr w:rsidR="00E86C0E" w:rsidRPr="00E86C0E" w:rsidTr="00875C16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86C0E" w:rsidRPr="00E86C0E" w:rsidRDefault="00E86C0E" w:rsidP="00875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6C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86C0E" w:rsidRPr="00E86C0E" w:rsidRDefault="00E86C0E" w:rsidP="00875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86C0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25,768,621 </w:t>
            </w:r>
          </w:p>
        </w:tc>
      </w:tr>
    </w:tbl>
    <w:p w:rsidR="00875C16" w:rsidRDefault="00875C16">
      <w:pPr>
        <w:rPr>
          <w:noProof/>
        </w:rPr>
      </w:pPr>
    </w:p>
    <w:p w:rsidR="00875C16" w:rsidRDefault="00875C16">
      <w:pPr>
        <w:rPr>
          <w:noProof/>
        </w:rPr>
      </w:pPr>
    </w:p>
    <w:p w:rsidR="00875C16" w:rsidRDefault="00875C16">
      <w:pPr>
        <w:rPr>
          <w:noProof/>
          <w:rtl/>
        </w:rPr>
      </w:pPr>
    </w:p>
    <w:p w:rsidR="004002A6" w:rsidRDefault="00875C16">
      <w:pPr>
        <w:rPr>
          <w:rtl/>
          <w:lang w:bidi="ar-IQ"/>
        </w:rPr>
      </w:pPr>
      <w:r>
        <w:rPr>
          <w:noProof/>
        </w:rPr>
        <w:br w:type="textWrapping" w:clear="all"/>
      </w:r>
      <w:r w:rsidR="004002A6">
        <w:rPr>
          <w:noProof/>
        </w:rPr>
        <w:drawing>
          <wp:inline distT="0" distB="0" distL="0" distR="0" wp14:anchorId="2C37997B" wp14:editId="6C07CF22">
            <wp:extent cx="7402286" cy="2950028"/>
            <wp:effectExtent l="0" t="0" r="27305" b="222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bidiVisual/>
        <w:tblW w:w="7880" w:type="dxa"/>
        <w:tblInd w:w="93" w:type="dxa"/>
        <w:tblLook w:val="04A0" w:firstRow="1" w:lastRow="0" w:firstColumn="1" w:lastColumn="0" w:noHBand="0" w:noVBand="1"/>
      </w:tblPr>
      <w:tblGrid>
        <w:gridCol w:w="4470"/>
        <w:gridCol w:w="3410"/>
      </w:tblGrid>
      <w:tr w:rsidR="00D36EC1" w:rsidRPr="00D36EC1" w:rsidTr="00D36EC1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36EC1" w:rsidRPr="00D36EC1" w:rsidRDefault="00D36EC1" w:rsidP="00D3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الملخص التنفيذي للأيرادات والمصروفات على مستوى الموازنة الجارية</w:t>
            </w:r>
          </w:p>
        </w:tc>
      </w:tr>
      <w:tr w:rsidR="00D36EC1" w:rsidRPr="00D36EC1" w:rsidTr="00D36EC1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36EC1" w:rsidRPr="00D36EC1" w:rsidRDefault="00D36EC1" w:rsidP="00D3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6EC1" w:rsidRPr="00D36EC1" w:rsidRDefault="00D36EC1" w:rsidP="00D3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D36EC1" w:rsidRPr="00D36EC1" w:rsidTr="00D36EC1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36EC1" w:rsidRPr="00D36EC1" w:rsidRDefault="00D36EC1" w:rsidP="00D3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36EC1" w:rsidRPr="00D36EC1" w:rsidRDefault="00D36EC1" w:rsidP="00D36E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30,955,195 </w:t>
            </w:r>
          </w:p>
        </w:tc>
      </w:tr>
      <w:tr w:rsidR="00D36EC1" w:rsidRPr="00D36EC1" w:rsidTr="00D36EC1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36EC1" w:rsidRPr="00D36EC1" w:rsidRDefault="00D36EC1" w:rsidP="00D3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36EC1" w:rsidRPr="00D36EC1" w:rsidRDefault="00D36EC1" w:rsidP="00D36E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23,897,971 </w:t>
            </w:r>
          </w:p>
        </w:tc>
      </w:tr>
      <w:tr w:rsidR="00D36EC1" w:rsidRPr="00D36EC1" w:rsidTr="00D36EC1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36EC1" w:rsidRPr="00D36EC1" w:rsidRDefault="00D36EC1" w:rsidP="00D3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36EC1" w:rsidRPr="00D36EC1" w:rsidRDefault="00D36EC1" w:rsidP="00D36E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1,870,650 </w:t>
            </w:r>
          </w:p>
        </w:tc>
      </w:tr>
      <w:tr w:rsidR="00D36EC1" w:rsidRPr="00D36EC1" w:rsidTr="00D36EC1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36EC1" w:rsidRPr="00D36EC1" w:rsidRDefault="00D36EC1" w:rsidP="00D3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36EC1" w:rsidRPr="00D36EC1" w:rsidRDefault="00D36EC1" w:rsidP="00D36EC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25,768,621 </w:t>
            </w:r>
          </w:p>
        </w:tc>
      </w:tr>
    </w:tbl>
    <w:p w:rsidR="00BC441E" w:rsidRDefault="00BC441E">
      <w:pPr>
        <w:rPr>
          <w:rtl/>
          <w:lang w:bidi="ar-IQ"/>
        </w:rPr>
      </w:pPr>
    </w:p>
    <w:p w:rsidR="00D36EC1" w:rsidRDefault="00D36EC1">
      <w:pPr>
        <w:rPr>
          <w:lang w:bidi="ar-IQ"/>
        </w:rPr>
      </w:pPr>
      <w:r w:rsidRPr="00D36EC1">
        <w:rPr>
          <w:noProof/>
          <w:sz w:val="20"/>
          <w:szCs w:val="20"/>
        </w:rPr>
        <w:drawing>
          <wp:inline distT="0" distB="0" distL="0" distR="0" wp14:anchorId="6586BABB" wp14:editId="7CB674C4">
            <wp:extent cx="7358743" cy="3592285"/>
            <wp:effectExtent l="0" t="0" r="13970" b="273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-170"/>
        <w:bidiVisual/>
        <w:tblW w:w="10696" w:type="dxa"/>
        <w:tblLook w:val="04A0" w:firstRow="1" w:lastRow="0" w:firstColumn="1" w:lastColumn="0" w:noHBand="0" w:noVBand="1"/>
      </w:tblPr>
      <w:tblGrid>
        <w:gridCol w:w="4248"/>
        <w:gridCol w:w="4349"/>
        <w:gridCol w:w="2099"/>
      </w:tblGrid>
      <w:tr w:rsidR="00470D5E" w:rsidRPr="00D36EC1" w:rsidTr="00D4038C">
        <w:trPr>
          <w:trHeight w:val="32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70D5E" w:rsidRPr="00D36EC1" w:rsidRDefault="00470D5E" w:rsidP="00470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الأيرادات حسب انواعها</w:t>
            </w:r>
          </w:p>
        </w:tc>
      </w:tr>
      <w:tr w:rsidR="00470D5E" w:rsidRPr="00D36EC1" w:rsidTr="00470D5E">
        <w:trPr>
          <w:trHeight w:val="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70D5E" w:rsidRPr="00D36EC1" w:rsidRDefault="00470D5E" w:rsidP="00470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70D5E" w:rsidRPr="00D36EC1" w:rsidRDefault="00470D5E" w:rsidP="00470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70D5E" w:rsidRPr="00D36EC1" w:rsidRDefault="00470D5E" w:rsidP="00470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470D5E" w:rsidRPr="00D36EC1" w:rsidTr="00470D5E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28,216,875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91%</w:t>
            </w:r>
          </w:p>
        </w:tc>
      </w:tr>
      <w:tr w:rsidR="00470D5E" w:rsidRPr="00D36EC1" w:rsidTr="00470D5E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762,773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2.5%</w:t>
            </w:r>
          </w:p>
        </w:tc>
      </w:tr>
      <w:tr w:rsidR="00470D5E" w:rsidRPr="00D36EC1" w:rsidTr="00470D5E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732,642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2.4%</w:t>
            </w:r>
          </w:p>
        </w:tc>
      </w:tr>
      <w:tr w:rsidR="00470D5E" w:rsidRPr="00D36EC1" w:rsidTr="00470D5E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386,498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1.2%</w:t>
            </w:r>
          </w:p>
        </w:tc>
      </w:tr>
      <w:tr w:rsidR="00470D5E" w:rsidRPr="00D36EC1" w:rsidTr="00470D5E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307,796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1.0%</w:t>
            </w:r>
          </w:p>
        </w:tc>
      </w:tr>
      <w:tr w:rsidR="00470D5E" w:rsidRPr="00D36EC1" w:rsidTr="00470D5E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257,044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0.8%</w:t>
            </w:r>
          </w:p>
        </w:tc>
      </w:tr>
      <w:tr w:rsidR="00470D5E" w:rsidRPr="00D36EC1" w:rsidTr="00470D5E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231,434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0.7%</w:t>
            </w:r>
          </w:p>
        </w:tc>
      </w:tr>
      <w:tr w:rsidR="00470D5E" w:rsidRPr="00D36EC1" w:rsidTr="00470D5E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60,133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70D5E" w:rsidRPr="00D36EC1" w:rsidRDefault="00470D5E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6E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0.2%</w:t>
            </w:r>
          </w:p>
        </w:tc>
      </w:tr>
    </w:tbl>
    <w:p w:rsidR="001F4E23" w:rsidRDefault="001F4E23">
      <w:pPr>
        <w:rPr>
          <w:rtl/>
          <w:lang w:bidi="ar-IQ"/>
        </w:rPr>
      </w:pPr>
    </w:p>
    <w:p w:rsidR="00BB7F69" w:rsidRPr="00381DE1" w:rsidRDefault="00BB7F69">
      <w:pPr>
        <w:rPr>
          <w:rtl/>
          <w:lang w:bidi="ar-IQ"/>
        </w:rPr>
      </w:pPr>
    </w:p>
    <w:p w:rsidR="00AE4134" w:rsidRDefault="00AE4134" w:rsidP="00381DE1">
      <w:pPr>
        <w:ind w:hanging="665"/>
        <w:rPr>
          <w:rtl/>
          <w:lang w:bidi="ar-IQ"/>
        </w:rPr>
      </w:pPr>
    </w:p>
    <w:p w:rsidR="00BC441E" w:rsidRDefault="00BC441E" w:rsidP="00381DE1">
      <w:pPr>
        <w:ind w:hanging="665"/>
        <w:rPr>
          <w:rtl/>
          <w:lang w:bidi="ar-IQ"/>
        </w:rPr>
      </w:pPr>
    </w:p>
    <w:p w:rsidR="00E011EB" w:rsidRPr="00381DE1" w:rsidRDefault="00E011EB">
      <w:pPr>
        <w:rPr>
          <w:rtl/>
          <w:lang w:bidi="ar-IQ"/>
        </w:rPr>
      </w:pPr>
    </w:p>
    <w:p w:rsidR="00BB7F69" w:rsidRDefault="00BB7F69">
      <w:pPr>
        <w:rPr>
          <w:rtl/>
          <w:lang w:bidi="ar-IQ"/>
        </w:rPr>
      </w:pPr>
    </w:p>
    <w:p w:rsidR="00BC441E" w:rsidRDefault="00BC441E">
      <w:pPr>
        <w:rPr>
          <w:rtl/>
          <w:lang w:bidi="ar-IQ"/>
        </w:rPr>
      </w:pPr>
    </w:p>
    <w:p w:rsidR="00BB7F69" w:rsidRDefault="00BB7F69">
      <w:pPr>
        <w:rPr>
          <w:rtl/>
          <w:lang w:bidi="ar-IQ"/>
        </w:rPr>
      </w:pPr>
    </w:p>
    <w:p w:rsidR="00381DE1" w:rsidRPr="00BA7E18" w:rsidRDefault="00470D5E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11464B" wp14:editId="48C24A31">
            <wp:simplePos x="0" y="0"/>
            <wp:positionH relativeFrom="margin">
              <wp:posOffset>1050290</wp:posOffset>
            </wp:positionH>
            <wp:positionV relativeFrom="margin">
              <wp:posOffset>2557780</wp:posOffset>
            </wp:positionV>
            <wp:extent cx="7031990" cy="2677795"/>
            <wp:effectExtent l="0" t="0" r="16510" b="27305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F69" w:rsidRDefault="00BB7F69">
      <w:pPr>
        <w:rPr>
          <w:rtl/>
          <w:lang w:bidi="ar-IQ"/>
        </w:rPr>
      </w:pPr>
    </w:p>
    <w:p w:rsidR="0066086D" w:rsidRDefault="0066086D" w:rsidP="0066086D">
      <w:pPr>
        <w:jc w:val="center"/>
        <w:rPr>
          <w:rtl/>
          <w:lang w:bidi="ar-IQ"/>
        </w:rPr>
      </w:pPr>
    </w:p>
    <w:p w:rsidR="00775B7F" w:rsidRDefault="00775B7F" w:rsidP="0066086D">
      <w:pPr>
        <w:rPr>
          <w:rtl/>
          <w:lang w:bidi="ar-IQ"/>
        </w:rPr>
      </w:pPr>
    </w:p>
    <w:p w:rsidR="00470D5E" w:rsidRDefault="00470D5E" w:rsidP="0066086D">
      <w:pPr>
        <w:rPr>
          <w:rtl/>
          <w:lang w:bidi="ar-IQ"/>
        </w:rPr>
      </w:pPr>
    </w:p>
    <w:p w:rsidR="00470D5E" w:rsidRDefault="00470D5E" w:rsidP="0066086D">
      <w:pPr>
        <w:rPr>
          <w:rtl/>
          <w:lang w:bidi="ar-IQ"/>
        </w:rPr>
      </w:pPr>
    </w:p>
    <w:p w:rsidR="00470D5E" w:rsidRDefault="00470D5E" w:rsidP="0066086D">
      <w:pPr>
        <w:rPr>
          <w:rtl/>
          <w:lang w:bidi="ar-IQ"/>
        </w:rPr>
      </w:pPr>
    </w:p>
    <w:p w:rsidR="00470D5E" w:rsidRDefault="00470D5E" w:rsidP="0066086D">
      <w:pPr>
        <w:rPr>
          <w:rtl/>
          <w:lang w:bidi="ar-IQ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870"/>
        <w:gridCol w:w="3092"/>
        <w:gridCol w:w="2442"/>
        <w:gridCol w:w="2305"/>
        <w:gridCol w:w="25"/>
      </w:tblGrid>
      <w:tr w:rsidR="00D54385" w:rsidRPr="00470D5E" w:rsidTr="009D0BFC">
        <w:trPr>
          <w:gridAfter w:val="1"/>
          <w:wAfter w:w="10" w:type="pct"/>
          <w:trHeight w:val="315"/>
        </w:trPr>
        <w:tc>
          <w:tcPr>
            <w:tcW w:w="4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54385" w:rsidRPr="00D54385" w:rsidRDefault="002505A2" w:rsidP="00250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54385"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الأهمية النسبية حسب التصنيف الأقتصادي </w:t>
            </w:r>
          </w:p>
        </w:tc>
      </w:tr>
      <w:tr w:rsidR="00D54385" w:rsidRPr="00470D5E" w:rsidTr="009D0BFC">
        <w:trPr>
          <w:trHeight w:val="300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4385" w:rsidRPr="00470D5E" w:rsidRDefault="00D54385" w:rsidP="00470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4385" w:rsidRPr="00470D5E" w:rsidRDefault="00D54385" w:rsidP="00250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4385" w:rsidRPr="00470D5E" w:rsidRDefault="00D54385" w:rsidP="00470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4385" w:rsidRPr="00470D5E" w:rsidRDefault="00D54385" w:rsidP="00470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 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16,492,271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69%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3,960,814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2,594,337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421,162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238,652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120,960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42,163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26,366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D54385" w:rsidRPr="00470D5E" w:rsidTr="009D0BFC">
        <w:trPr>
          <w:trHeight w:val="315"/>
        </w:trPr>
        <w:tc>
          <w:tcPr>
            <w:tcW w:w="1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1,246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4385" w:rsidRPr="00470D5E" w:rsidRDefault="00D54385" w:rsidP="00470D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0D5E">
              <w:rPr>
                <w:rFonts w:ascii="Arial" w:eastAsia="Times New Roman" w:hAnsi="Arial" w:cs="Arial"/>
                <w:b/>
                <w:bCs/>
                <w:color w:val="000000"/>
              </w:rPr>
              <w:t>0.01%</w:t>
            </w:r>
          </w:p>
        </w:tc>
      </w:tr>
    </w:tbl>
    <w:p w:rsidR="00470D5E" w:rsidRDefault="00940193" w:rsidP="0066086D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33D66B" wp14:editId="30B5786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409180" cy="2527935"/>
            <wp:effectExtent l="0" t="0" r="20320" b="24765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horzAnchor="margin" w:tblpXSpec="right" w:tblpY="-466"/>
        <w:bidiVisual/>
        <w:tblW w:w="5000" w:type="pct"/>
        <w:tblLook w:val="04A0" w:firstRow="1" w:lastRow="0" w:firstColumn="1" w:lastColumn="0" w:noHBand="0" w:noVBand="1"/>
      </w:tblPr>
      <w:tblGrid>
        <w:gridCol w:w="3856"/>
        <w:gridCol w:w="3023"/>
        <w:gridCol w:w="2832"/>
        <w:gridCol w:w="3023"/>
      </w:tblGrid>
      <w:tr w:rsidR="00F32FD6" w:rsidRPr="00F32FD6" w:rsidTr="009D0BFC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32FD6" w:rsidRPr="00F32FD6" w:rsidRDefault="00F32FD6" w:rsidP="00250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الأنفاق الفعلي حسب التصنيف الأقتصادي</w:t>
            </w:r>
          </w:p>
        </w:tc>
      </w:tr>
      <w:tr w:rsidR="00F32FD6" w:rsidRPr="00F32FD6" w:rsidTr="009D0BFC">
        <w:trPr>
          <w:trHeight w:val="30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FD6" w:rsidRPr="00F32FD6" w:rsidRDefault="00F32FD6" w:rsidP="00F32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FD6" w:rsidRPr="00F32FD6" w:rsidRDefault="00F32FD6" w:rsidP="002505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المصدق</w:t>
            </w:r>
            <w:bookmarkStart w:id="0" w:name="_GoBack"/>
            <w:bookmarkEnd w:id="0"/>
            <w:r w:rsidRPr="00F32FD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FD6" w:rsidRPr="00F32FD6" w:rsidRDefault="00F32FD6" w:rsidP="00F32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32FD6" w:rsidRPr="00F32FD6" w:rsidRDefault="00F32FD6" w:rsidP="00F32F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16,492,271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43%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238,652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2,594,337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3,960,814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120,960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421,162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42,163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26,366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F32FD6" w:rsidRPr="00F32FD6" w:rsidTr="009D0BFC">
        <w:trPr>
          <w:trHeight w:val="315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1,246</w:t>
            </w: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2FD6" w:rsidRPr="00F32FD6" w:rsidRDefault="00F32FD6" w:rsidP="00F32FD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2FD6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</w:tbl>
    <w:p w:rsidR="00C17FEF" w:rsidRDefault="00F32FD6" w:rsidP="0066086D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90F143" wp14:editId="39846C3C">
            <wp:simplePos x="0" y="0"/>
            <wp:positionH relativeFrom="column">
              <wp:posOffset>201295</wp:posOffset>
            </wp:positionH>
            <wp:positionV relativeFrom="paragraph">
              <wp:posOffset>2487295</wp:posOffset>
            </wp:positionV>
            <wp:extent cx="8001000" cy="3159760"/>
            <wp:effectExtent l="0" t="0" r="19050" b="2159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FEF" w:rsidRDefault="00C17FEF" w:rsidP="0066086D">
      <w:pPr>
        <w:rPr>
          <w:lang w:bidi="ar-IQ"/>
        </w:rPr>
      </w:pPr>
    </w:p>
    <w:tbl>
      <w:tblPr>
        <w:tblpPr w:leftFromText="180" w:rightFromText="180" w:vertAnchor="text" w:horzAnchor="margin" w:tblpY="-146"/>
        <w:bidiVisual/>
        <w:tblW w:w="0" w:type="auto"/>
        <w:tblLook w:val="04A0" w:firstRow="1" w:lastRow="0" w:firstColumn="1" w:lastColumn="0" w:noHBand="0" w:noVBand="1"/>
      </w:tblPr>
      <w:tblGrid>
        <w:gridCol w:w="2966"/>
        <w:gridCol w:w="1418"/>
        <w:gridCol w:w="1284"/>
        <w:gridCol w:w="1464"/>
        <w:gridCol w:w="2316"/>
        <w:gridCol w:w="1488"/>
        <w:gridCol w:w="1798"/>
      </w:tblGrid>
      <w:tr w:rsidR="00200229" w:rsidRPr="00200229" w:rsidTr="00AB1D02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200229" w:rsidRPr="00200229" w:rsidRDefault="00200229" w:rsidP="0020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تنفيذ الموازنه حسب التصنيف الأداري مع السلف والألتزامات </w:t>
            </w:r>
            <w:r w:rsidR="00AB5CF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الاول )</w:t>
            </w:r>
          </w:p>
        </w:tc>
      </w:tr>
      <w:tr w:rsidR="00200229" w:rsidRPr="00200229" w:rsidTr="00AB1D0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للنفقات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النفط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999,593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763,653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36,010-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727,643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وزارةالدفاع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5,057,537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2,601,622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25,543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2,627,165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التخطيط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19,972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20,266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الصناعة والمعادن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46,928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19,587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22,093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العدل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210,240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211,527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القضاء الاعلى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390,074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176,552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5,437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181,990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التربية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7,272,791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3,359,812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8,674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3,368,486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العلوم والتكنولوجيا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144,455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66,065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66,610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2,589,664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1,123,772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60,841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1,184,613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الشباب والرياضة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95,816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40,991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2,605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43,597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الصحة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5,077,292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1,450,193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775,991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2,226,183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الموارد المائية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232,308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95,567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3,932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99,499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حقوق الانسان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16,915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6,794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6,858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الثقافة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36,548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2,717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39,265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الداخلية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11,052,559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4,478,761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8,879-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4,469,882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</w:tr>
      <w:tr w:rsidR="00200229" w:rsidRPr="00200229" w:rsidTr="00AB1D0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00229" w:rsidRPr="00200229" w:rsidRDefault="00200229" w:rsidP="00200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الاتصالات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15,941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6,315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6,342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200229" w:rsidRPr="00200229" w:rsidRDefault="00200229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02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</w:tr>
    </w:tbl>
    <w:p w:rsidR="00C17FEF" w:rsidRDefault="00C17FEF" w:rsidP="0066086D">
      <w:pPr>
        <w:rPr>
          <w:rtl/>
          <w:lang w:bidi="ar-IQ"/>
        </w:rPr>
      </w:pPr>
    </w:p>
    <w:p w:rsidR="00200229" w:rsidRDefault="00200229" w:rsidP="0066086D">
      <w:pPr>
        <w:rPr>
          <w:rtl/>
          <w:lang w:bidi="ar-IQ"/>
        </w:rPr>
      </w:pPr>
    </w:p>
    <w:p w:rsidR="00200229" w:rsidRDefault="00200229" w:rsidP="0066086D">
      <w:pPr>
        <w:rPr>
          <w:rtl/>
          <w:lang w:bidi="ar-IQ"/>
        </w:rPr>
      </w:pPr>
    </w:p>
    <w:p w:rsidR="00200229" w:rsidRDefault="00F20FB7" w:rsidP="00AB1D02">
      <w:pPr>
        <w:rPr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A3AED9B" wp14:editId="41BA554F">
            <wp:simplePos x="0" y="0"/>
            <wp:positionH relativeFrom="column">
              <wp:posOffset>-242570</wp:posOffset>
            </wp:positionH>
            <wp:positionV relativeFrom="paragraph">
              <wp:posOffset>120650</wp:posOffset>
            </wp:positionV>
            <wp:extent cx="8175625" cy="4665980"/>
            <wp:effectExtent l="0" t="0" r="15875" b="2032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78"/>
        <w:bidiVisual/>
        <w:tblW w:w="5000" w:type="pct"/>
        <w:tblLook w:val="04A0" w:firstRow="1" w:lastRow="0" w:firstColumn="1" w:lastColumn="0" w:noHBand="0" w:noVBand="1"/>
      </w:tblPr>
      <w:tblGrid>
        <w:gridCol w:w="2967"/>
        <w:gridCol w:w="1864"/>
        <w:gridCol w:w="1564"/>
        <w:gridCol w:w="2511"/>
        <w:gridCol w:w="1826"/>
        <w:gridCol w:w="965"/>
        <w:gridCol w:w="1037"/>
      </w:tblGrid>
      <w:tr w:rsidR="00F20FB7" w:rsidRPr="00F20FB7" w:rsidTr="00F20FB7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20FB7" w:rsidRPr="00F20FB7" w:rsidRDefault="00F20FB7" w:rsidP="00AB5C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AB5CF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(الجزء الثاني)</w:t>
            </w:r>
          </w:p>
        </w:tc>
      </w:tr>
      <w:tr w:rsidR="00F20FB7" w:rsidRPr="00F20FB7" w:rsidTr="00AB1D02">
        <w:trPr>
          <w:trHeight w:val="300"/>
        </w:trPr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20FB7" w:rsidRPr="00F20FB7" w:rsidRDefault="00F20FB7" w:rsidP="00F2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7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20FB7" w:rsidRPr="00F20FB7" w:rsidRDefault="00F20FB7" w:rsidP="00F2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6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20FB7" w:rsidRPr="00F20FB7" w:rsidRDefault="00F20FB7" w:rsidP="00F2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20FB7" w:rsidRPr="00F20FB7" w:rsidRDefault="00F20FB7" w:rsidP="00F2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20FB7" w:rsidRPr="00F20FB7" w:rsidRDefault="00F20FB7" w:rsidP="00F2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20FB7" w:rsidRPr="00F20FB7" w:rsidRDefault="00F20FB7" w:rsidP="00F2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للنفقات 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20FB7" w:rsidRPr="00F20FB7" w:rsidRDefault="00F20FB7" w:rsidP="00F20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رئاسة الجمهورية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84,100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31,276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1,527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32,803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دوائر غير مرتبطة بوزارة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763,009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270,333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23,517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293,850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البيئة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59,698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19,522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3,400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22,922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الزراعة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808,788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138,359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171,198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309,557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النقل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132,116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47,639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1,205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48,844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643,230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233,882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1,870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235,752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التجارة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4,314,024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1,150,218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401,865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1,552,084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البلديات والاشغال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741,769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141,720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123,304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265,024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الوزراء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3,722,400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967,310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319,604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1,286,913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السياحة والاثار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85,283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27,930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348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28,278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الخارجية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415,734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93,903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33,913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127,816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الاعمار والاسكان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219,322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54,937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3,096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58,032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حكومة اقليم كردستان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9,296,560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2,265,829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2,265,879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وزارةالعمل والشوؤن الاجتماعية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1,547,621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359,799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360,724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المالية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17,335,830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3,453,196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479,754-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2,973,441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المهجرين والمهاجرين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2,584,784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106,061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329,378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435,439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F20FB7" w:rsidRPr="00F20FB7" w:rsidTr="00AB1D02">
        <w:trPr>
          <w:trHeight w:val="315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20FB7" w:rsidRPr="00F20FB7" w:rsidRDefault="00F20FB7" w:rsidP="00AB1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الكهرباء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1,910,117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79,613</w:t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87,352</w:t>
            </w:r>
          </w:p>
        </w:tc>
        <w:tc>
          <w:tcPr>
            <w:tcW w:w="7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166,965</w:t>
            </w:r>
          </w:p>
        </w:tc>
        <w:tc>
          <w:tcPr>
            <w:tcW w:w="3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4%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F20FB7" w:rsidRPr="00F20FB7" w:rsidRDefault="00F20FB7" w:rsidP="00AB1D0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0F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9%</w:t>
            </w:r>
          </w:p>
        </w:tc>
      </w:tr>
    </w:tbl>
    <w:p w:rsidR="00200229" w:rsidRDefault="00F20FB7" w:rsidP="0066086D">
      <w:pPr>
        <w:rPr>
          <w:rtl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6B300C8" wp14:editId="1C31AA30">
            <wp:simplePos x="0" y="0"/>
            <wp:positionH relativeFrom="column">
              <wp:posOffset>-565150</wp:posOffset>
            </wp:positionH>
            <wp:positionV relativeFrom="paragraph">
              <wp:posOffset>389890</wp:posOffset>
            </wp:positionV>
            <wp:extent cx="9076690" cy="4585335"/>
            <wp:effectExtent l="0" t="0" r="10160" b="2476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0229" w:rsidSect="00DB19B9">
      <w:footerReference w:type="default" r:id="rId14"/>
      <w:pgSz w:w="16838" w:h="11906" w:orient="landscape" w:code="9"/>
      <w:pgMar w:top="1440" w:right="2160" w:bottom="2160" w:left="216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11" w:rsidRDefault="00866611" w:rsidP="00A332E8">
      <w:pPr>
        <w:spacing w:after="0" w:line="240" w:lineRule="auto"/>
      </w:pPr>
      <w:r>
        <w:separator/>
      </w:r>
    </w:p>
  </w:endnote>
  <w:endnote w:type="continuationSeparator" w:id="0">
    <w:p w:rsidR="00866611" w:rsidRDefault="00866611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8088181"/>
      <w:docPartObj>
        <w:docPartGallery w:val="Page Numbers (Bottom of Page)"/>
        <w:docPartUnique/>
      </w:docPartObj>
    </w:sdtPr>
    <w:sdtEndPr/>
    <w:sdtContent>
      <w:p w:rsidR="00E011EB" w:rsidRDefault="00E01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5A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011EB" w:rsidRDefault="00E0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11" w:rsidRDefault="00866611" w:rsidP="00A332E8">
      <w:pPr>
        <w:spacing w:after="0" w:line="240" w:lineRule="auto"/>
      </w:pPr>
      <w:r>
        <w:separator/>
      </w:r>
    </w:p>
  </w:footnote>
  <w:footnote w:type="continuationSeparator" w:id="0">
    <w:p w:rsidR="00866611" w:rsidRDefault="00866611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12B56"/>
    <w:rsid w:val="0002319A"/>
    <w:rsid w:val="00081DC4"/>
    <w:rsid w:val="000A703F"/>
    <w:rsid w:val="000C1604"/>
    <w:rsid w:val="000C2FC4"/>
    <w:rsid w:val="00102068"/>
    <w:rsid w:val="00113D6C"/>
    <w:rsid w:val="00133357"/>
    <w:rsid w:val="001F4E23"/>
    <w:rsid w:val="00200229"/>
    <w:rsid w:val="00200EB7"/>
    <w:rsid w:val="00221730"/>
    <w:rsid w:val="00225BBB"/>
    <w:rsid w:val="002476AF"/>
    <w:rsid w:val="002505A2"/>
    <w:rsid w:val="002572ED"/>
    <w:rsid w:val="00273189"/>
    <w:rsid w:val="0032771B"/>
    <w:rsid w:val="00381DE1"/>
    <w:rsid w:val="0039618B"/>
    <w:rsid w:val="003D4FDE"/>
    <w:rsid w:val="004002A6"/>
    <w:rsid w:val="00422227"/>
    <w:rsid w:val="00442F3C"/>
    <w:rsid w:val="00470D5E"/>
    <w:rsid w:val="004D476F"/>
    <w:rsid w:val="004D588E"/>
    <w:rsid w:val="004E5E5D"/>
    <w:rsid w:val="0052793A"/>
    <w:rsid w:val="005315FB"/>
    <w:rsid w:val="00534B02"/>
    <w:rsid w:val="00553033"/>
    <w:rsid w:val="00586D89"/>
    <w:rsid w:val="005F4132"/>
    <w:rsid w:val="00605F63"/>
    <w:rsid w:val="00641244"/>
    <w:rsid w:val="00643CCC"/>
    <w:rsid w:val="00653BC0"/>
    <w:rsid w:val="0066086D"/>
    <w:rsid w:val="0068653F"/>
    <w:rsid w:val="00702D4C"/>
    <w:rsid w:val="00743D5E"/>
    <w:rsid w:val="00775B7F"/>
    <w:rsid w:val="0077718E"/>
    <w:rsid w:val="00815E53"/>
    <w:rsid w:val="00866611"/>
    <w:rsid w:val="00875C16"/>
    <w:rsid w:val="008821EA"/>
    <w:rsid w:val="008F7C11"/>
    <w:rsid w:val="0090285D"/>
    <w:rsid w:val="00940193"/>
    <w:rsid w:val="00960962"/>
    <w:rsid w:val="00963C55"/>
    <w:rsid w:val="00972BEB"/>
    <w:rsid w:val="00986482"/>
    <w:rsid w:val="009D0BFC"/>
    <w:rsid w:val="009E571C"/>
    <w:rsid w:val="00A332E8"/>
    <w:rsid w:val="00A57B43"/>
    <w:rsid w:val="00AA4E4A"/>
    <w:rsid w:val="00AB1D02"/>
    <w:rsid w:val="00AB5CF7"/>
    <w:rsid w:val="00AC4511"/>
    <w:rsid w:val="00AE4134"/>
    <w:rsid w:val="00AF1442"/>
    <w:rsid w:val="00B2593A"/>
    <w:rsid w:val="00B444BB"/>
    <w:rsid w:val="00B611D5"/>
    <w:rsid w:val="00B77FCB"/>
    <w:rsid w:val="00B85777"/>
    <w:rsid w:val="00BA7E18"/>
    <w:rsid w:val="00BB7F69"/>
    <w:rsid w:val="00BC441E"/>
    <w:rsid w:val="00BD0020"/>
    <w:rsid w:val="00BE26EA"/>
    <w:rsid w:val="00C04897"/>
    <w:rsid w:val="00C17FEF"/>
    <w:rsid w:val="00C34F62"/>
    <w:rsid w:val="00CA3959"/>
    <w:rsid w:val="00CB518E"/>
    <w:rsid w:val="00CE4BA1"/>
    <w:rsid w:val="00D353F1"/>
    <w:rsid w:val="00D36EC1"/>
    <w:rsid w:val="00D54385"/>
    <w:rsid w:val="00D75DD8"/>
    <w:rsid w:val="00DB19B9"/>
    <w:rsid w:val="00DB4564"/>
    <w:rsid w:val="00E011EB"/>
    <w:rsid w:val="00E01844"/>
    <w:rsid w:val="00E86C0E"/>
    <w:rsid w:val="00EB54E0"/>
    <w:rsid w:val="00EE6E7F"/>
    <w:rsid w:val="00F12553"/>
    <w:rsid w:val="00F20FB7"/>
    <w:rsid w:val="00F24A81"/>
    <w:rsid w:val="00F32FD6"/>
    <w:rsid w:val="00F60C81"/>
    <w:rsid w:val="00F61E55"/>
    <w:rsid w:val="00FA4FD5"/>
    <w:rsid w:val="00FB5B16"/>
    <w:rsid w:val="00FF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581;&#1586;&#1610;&#1585;&#1575;&#1606;\&#1578;&#1602;&#1585;&#1610;&#1585;%20&#1578;&#1606;&#1601;&#1610;&#1584;%20&#1575;&#1604;&#1605;&#1608;&#1575;&#1586;&#1606;&#1577;%20&#1604;&#1594;&#1575;&#1610;&#1577;%20&#1581;&#1586;&#1610;&#1585;&#1575;&#1606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200"/>
          </a:p>
        </c:rich>
      </c:tx>
      <c:layout>
        <c:manualLayout>
          <c:xMode val="edge"/>
          <c:yMode val="edge"/>
          <c:x val="0.48169553411095589"/>
          <c:y val="5.5910265421220795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0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25768621.479876719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464896"/>
        <c:axId val="111690880"/>
        <c:axId val="0"/>
      </c:bar3DChart>
      <c:catAx>
        <c:axId val="102464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1690880"/>
        <c:crosses val="autoZero"/>
        <c:auto val="1"/>
        <c:lblAlgn val="ctr"/>
        <c:lblOffset val="100"/>
        <c:noMultiLvlLbl val="0"/>
      </c:catAx>
      <c:valAx>
        <c:axId val="111690880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0246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000"/>
          </a:p>
        </c:rich>
      </c:tx>
      <c:layout>
        <c:manualLayout>
          <c:xMode val="edge"/>
          <c:yMode val="edge"/>
          <c:x val="0.64116126876323576"/>
          <c:y val="9.4213426609635609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30955194.515818</c:v>
                </c:pt>
                <c:pt idx="1">
                  <c:v>23897971.244031001</c:v>
                </c:pt>
                <c:pt idx="2">
                  <c:v>1870650.2358457167</c:v>
                </c:pt>
                <c:pt idx="3">
                  <c:v>25768621.479876719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715840"/>
        <c:axId val="111717376"/>
        <c:axId val="0"/>
      </c:bar3DChart>
      <c:catAx>
        <c:axId val="111715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1717376"/>
        <c:crosses val="autoZero"/>
        <c:auto val="1"/>
        <c:lblAlgn val="ctr"/>
        <c:lblOffset val="100"/>
        <c:noMultiLvlLbl val="0"/>
      </c:catAx>
      <c:valAx>
        <c:axId val="111717376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ar-IQ"/>
          </a:p>
        </c:txPr>
        <c:crossAx val="111715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000"/>
          </a:p>
        </c:rich>
      </c:tx>
      <c:layout>
        <c:manualLayout>
          <c:xMode val="edge"/>
          <c:yMode val="edge"/>
          <c:x val="0.63825090706973353"/>
          <c:y val="0.10367970662429349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67020422395283E-2"/>
          <c:y val="0.17077408838241911"/>
          <c:w val="0.86355670870654067"/>
          <c:h val="0.5472289701041341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'ورقه عمل'!$C$13</c:f>
              <c:strCache>
                <c:ptCount val="1"/>
                <c:pt idx="0">
                  <c:v>نسبة الأهمية النسبية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عمل'!$A$14:$A$21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الايرادات التحويلية</c:v>
                </c:pt>
                <c:pt idx="2">
                  <c:v> حصة الموازنة من ارباح القطاع العام</c:v>
                </c:pt>
                <c:pt idx="3">
                  <c:v> الضرائب على الدخول والثروات</c:v>
                </c:pt>
                <c:pt idx="4">
                  <c:v> الرسوم</c:v>
                </c:pt>
                <c:pt idx="5">
                  <c:v> ايرادات اخرى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0.0%</c:formatCode>
                <c:ptCount val="8"/>
                <c:pt idx="0" formatCode="0%">
                  <c:v>0.91153924244456208</c:v>
                </c:pt>
                <c:pt idx="1">
                  <c:v>2.4641190250109416E-2</c:v>
                </c:pt>
                <c:pt idx="2">
                  <c:v>2.3667819566093356E-2</c:v>
                </c:pt>
                <c:pt idx="3">
                  <c:v>1.2485737547055328E-2</c:v>
                </c:pt>
                <c:pt idx="4">
                  <c:v>9.943286713803786E-3</c:v>
                </c:pt>
                <c:pt idx="5">
                  <c:v>8.3037437715455589E-3</c:v>
                </c:pt>
                <c:pt idx="6">
                  <c:v>7.4764098245526499E-3</c:v>
                </c:pt>
                <c:pt idx="7">
                  <c:v>1.9425698822809021E-3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782336"/>
        <c:axId val="70784128"/>
        <c:axId val="0"/>
      </c:bar3DChart>
      <c:catAx>
        <c:axId val="7078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70784128"/>
        <c:crosses val="autoZero"/>
        <c:auto val="1"/>
        <c:lblAlgn val="ctr"/>
        <c:lblOffset val="100"/>
        <c:noMultiLvlLbl val="0"/>
      </c:catAx>
      <c:valAx>
        <c:axId val="70784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0782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54456799737628103"/>
          <c:y val="6.746138646761092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00604925241394E-2"/>
          <c:y val="7.9869537784792721E-2"/>
          <c:w val="0.92132892673770583"/>
          <c:h val="0.639748419537906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'ورقه عمل'!$E$37</c:f>
              <c:strCache>
                <c:ptCount val="1"/>
                <c:pt idx="0">
                  <c:v>الأهمية النسبية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عمل'!$E$38:$E$46</c:f>
              <c:numCache>
                <c:formatCode>0%</c:formatCode>
                <c:ptCount val="9"/>
                <c:pt idx="0">
                  <c:v>0.69011176668693486</c:v>
                </c:pt>
                <c:pt idx="1">
                  <c:v>0.16573849199083135</c:v>
                </c:pt>
                <c:pt idx="2">
                  <c:v>0.10855886337378902</c:v>
                </c:pt>
                <c:pt idx="3">
                  <c:v>1.7623332567209597E-2</c:v>
                </c:pt>
                <c:pt idx="4">
                  <c:v>9.9862699012007571E-3</c:v>
                </c:pt>
                <c:pt idx="5">
                  <c:v>5.0615326449517037E-3</c:v>
                </c:pt>
                <c:pt idx="6" formatCode="0.0%">
                  <c:v>1.764298864512656E-3</c:v>
                </c:pt>
                <c:pt idx="7" formatCode="0.0%">
                  <c:v>1.1032890246416014E-3</c:v>
                </c:pt>
                <c:pt idx="8" formatCode="0.00%">
                  <c:v>5.2154945927107221E-5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809472"/>
        <c:axId val="70811008"/>
        <c:axId val="0"/>
      </c:bar3DChart>
      <c:catAx>
        <c:axId val="7080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0811008"/>
        <c:crosses val="autoZero"/>
        <c:auto val="1"/>
        <c:lblAlgn val="ctr"/>
        <c:lblOffset val="100"/>
        <c:noMultiLvlLbl val="0"/>
      </c:catAx>
      <c:valAx>
        <c:axId val="70811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080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حسب التصنيف الاقتصادي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65509398825146858"/>
          <c:y val="6.3852634377294479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عمل'!$D$52</c:f>
              <c:strCache>
                <c:ptCount val="1"/>
                <c:pt idx="0">
                  <c:v>نسبة الأنفاق الفعلي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عمل'!$A$53:$A$61</c:f>
              <c:strCache>
                <c:ptCount val="9"/>
                <c:pt idx="0">
                  <c:v>   تعويضات الموظفين</c:v>
                </c:pt>
                <c:pt idx="1">
                  <c:v>  المستلزمات الخدمية</c:v>
                </c:pt>
                <c:pt idx="2">
                  <c:v>  المنح والاعانات وخدمة الدين</c:v>
                </c:pt>
                <c:pt idx="3">
                  <c:v>  الرعاية الاجتماعية</c:v>
                </c:pt>
                <c:pt idx="4">
                  <c:v>  صيانة الموجودات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عمل'!$D$53:$D$61</c:f>
              <c:numCache>
                <c:formatCode>0%</c:formatCode>
                <c:ptCount val="9"/>
                <c:pt idx="0">
                  <c:v>0.42780808395224151</c:v>
                </c:pt>
                <c:pt idx="1">
                  <c:v>0.24767796675442633</c:v>
                </c:pt>
                <c:pt idx="2">
                  <c:v>0.21018491646488752</c:v>
                </c:pt>
                <c:pt idx="3">
                  <c:v>0.20183312001471806</c:v>
                </c:pt>
                <c:pt idx="4">
                  <c:v>0.16711433205554435</c:v>
                </c:pt>
                <c:pt idx="5">
                  <c:v>8.8665382091460757E-2</c:v>
                </c:pt>
                <c:pt idx="6">
                  <c:v>8.4416652878580078E-2</c:v>
                </c:pt>
                <c:pt idx="7">
                  <c:v>4.4303694977786294E-2</c:v>
                </c:pt>
                <c:pt idx="8">
                  <c:v>6.2802190724766211E-3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840320"/>
        <c:axId val="70841856"/>
        <c:axId val="0"/>
      </c:bar3DChart>
      <c:catAx>
        <c:axId val="7084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0841856"/>
        <c:crosses val="autoZero"/>
        <c:auto val="1"/>
        <c:lblAlgn val="ctr"/>
        <c:lblOffset val="100"/>
        <c:noMultiLvlLbl val="0"/>
      </c:catAx>
      <c:valAx>
        <c:axId val="70841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70840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000"/>
          </a:p>
        </c:rich>
      </c:tx>
      <c:layout>
        <c:manualLayout>
          <c:xMode val="edge"/>
          <c:yMode val="edge"/>
          <c:x val="0.63456738781438726"/>
          <c:y val="5.1632454489732055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عمل'!$A$67:$A$82</c:f>
              <c:strCache>
                <c:ptCount val="16"/>
                <c:pt idx="0">
                  <c:v> وزارة النفط</c:v>
                </c:pt>
                <c:pt idx="1">
                  <c:v> وزارةالدفاع</c:v>
                </c:pt>
                <c:pt idx="2">
                  <c:v> وزارة التخطيط</c:v>
                </c:pt>
                <c:pt idx="3">
                  <c:v> وزارة الصناعة والمعادن</c:v>
                </c:pt>
                <c:pt idx="4">
                  <c:v> وزارة العدل</c:v>
                </c:pt>
                <c:pt idx="5">
                  <c:v> مجلس القضاء الاعلى</c:v>
                </c:pt>
                <c:pt idx="6">
                  <c:v> وزارة التربية</c:v>
                </c:pt>
                <c:pt idx="7">
                  <c:v> وزارة العلوم والتكنولوجيا</c:v>
                </c:pt>
                <c:pt idx="8">
                  <c:v> وزارة التعليم العالي والبحث العلمي</c:v>
                </c:pt>
                <c:pt idx="9">
                  <c:v> وزارة الشباب والرياضة</c:v>
                </c:pt>
                <c:pt idx="10">
                  <c:v> وزارة الصحة</c:v>
                </c:pt>
                <c:pt idx="11">
                  <c:v> وزارة الموارد المائية</c:v>
                </c:pt>
                <c:pt idx="12">
                  <c:v> وزارة حقوق الانسان</c:v>
                </c:pt>
                <c:pt idx="13">
                  <c:v> وزارة الثقافة</c:v>
                </c:pt>
                <c:pt idx="14">
                  <c:v> وزارة الداخلية</c:v>
                </c:pt>
                <c:pt idx="15">
                  <c:v> وزارة الاتصالات</c:v>
                </c:pt>
              </c:strCache>
            </c:strRef>
          </c:cat>
          <c:val>
            <c:numRef>
              <c:f>'ورقه عمل'!$G$67:$G$82</c:f>
              <c:numCache>
                <c:formatCode>0%</c:formatCode>
                <c:ptCount val="16"/>
                <c:pt idx="0">
                  <c:v>0.72793934391425519</c:v>
                </c:pt>
                <c:pt idx="1">
                  <c:v>0.51945542740171746</c:v>
                </c:pt>
                <c:pt idx="2">
                  <c:v>0.47087854635084464</c:v>
                </c:pt>
                <c:pt idx="3">
                  <c:v>0.47078010899676098</c:v>
                </c:pt>
                <c:pt idx="4">
                  <c:v>0.46786257048790897</c:v>
                </c:pt>
                <c:pt idx="5">
                  <c:v>0.46655148027041027</c:v>
                </c:pt>
                <c:pt idx="6">
                  <c:v>0.46316276282075813</c:v>
                </c:pt>
                <c:pt idx="7">
                  <c:v>0.46111498310560389</c:v>
                </c:pt>
                <c:pt idx="8">
                  <c:v>0.4574389777876956</c:v>
                </c:pt>
                <c:pt idx="9">
                  <c:v>0.45500260641229029</c:v>
                </c:pt>
                <c:pt idx="10">
                  <c:v>0.43845882212480197</c:v>
                </c:pt>
                <c:pt idx="11">
                  <c:v>0.42830666313419691</c:v>
                </c:pt>
                <c:pt idx="12">
                  <c:v>0.40545543529411765</c:v>
                </c:pt>
                <c:pt idx="13">
                  <c:v>0.40486736554907093</c:v>
                </c:pt>
                <c:pt idx="14">
                  <c:v>0.40442054243091125</c:v>
                </c:pt>
                <c:pt idx="15">
                  <c:v>0.39787326083683588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500864"/>
        <c:axId val="108502400"/>
        <c:axId val="0"/>
      </c:bar3DChart>
      <c:catAx>
        <c:axId val="10850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08502400"/>
        <c:crosses val="autoZero"/>
        <c:auto val="1"/>
        <c:lblAlgn val="ctr"/>
        <c:lblOffset val="100"/>
        <c:noMultiLvlLbl val="0"/>
      </c:catAx>
      <c:valAx>
        <c:axId val="1085024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08500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000"/>
          </a:p>
        </c:rich>
      </c:tx>
      <c:layout>
        <c:manualLayout>
          <c:xMode val="edge"/>
          <c:yMode val="edge"/>
          <c:x val="0.57692415745036907"/>
          <c:y val="3.279763857002295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عمل'!$A$83:$A$99</c:f>
              <c:strCache>
                <c:ptCount val="17"/>
                <c:pt idx="0">
                  <c:v> رئاسة الجمهورية</c:v>
                </c:pt>
                <c:pt idx="1">
                  <c:v> دوائر غير مرتبطة بوزارة</c:v>
                </c:pt>
                <c:pt idx="2">
                  <c:v> وزارة البيئة</c:v>
                </c:pt>
                <c:pt idx="3">
                  <c:v> وزارة الزراعة</c:v>
                </c:pt>
                <c:pt idx="4">
                  <c:v> وزارة النقل</c:v>
                </c:pt>
                <c:pt idx="5">
                  <c:v>مجلس النواب</c:v>
                </c:pt>
                <c:pt idx="6">
                  <c:v> وزارة التجارة</c:v>
                </c:pt>
                <c:pt idx="7">
                  <c:v> وزارة البلديات والاشغال</c:v>
                </c:pt>
                <c:pt idx="8">
                  <c:v> مجلس الوزراء</c:v>
                </c:pt>
                <c:pt idx="9">
                  <c:v>وزارة السياحة والاثار</c:v>
                </c:pt>
                <c:pt idx="10">
                  <c:v> وزارة الخارجية</c:v>
                </c:pt>
                <c:pt idx="11">
                  <c:v> وزارة الاعمار والاسكان</c:v>
                </c:pt>
                <c:pt idx="12">
                  <c:v> حكومة اقليم كردستان</c:v>
                </c:pt>
                <c:pt idx="13">
                  <c:v> وزارةالعمل والشوؤن الاجتماعية</c:v>
                </c:pt>
                <c:pt idx="14">
                  <c:v> وزارة المالية</c:v>
                </c:pt>
                <c:pt idx="15">
                  <c:v> وزارة المهجرين والمهاجرين</c:v>
                </c:pt>
                <c:pt idx="16">
                  <c:v> وزارة الكهرباء</c:v>
                </c:pt>
              </c:strCache>
            </c:strRef>
          </c:cat>
          <c:val>
            <c:numRef>
              <c:f>'ورقه عمل'!$G$83:$G$99</c:f>
              <c:numCache>
                <c:formatCode>0%</c:formatCode>
                <c:ptCount val="17"/>
                <c:pt idx="0">
                  <c:v>0.39004730890606421</c:v>
                </c:pt>
                <c:pt idx="1">
                  <c:v>0.38512020365054672</c:v>
                </c:pt>
                <c:pt idx="2">
                  <c:v>0.38395979404670172</c:v>
                </c:pt>
                <c:pt idx="3">
                  <c:v>0.38274158342610176</c:v>
                </c:pt>
                <c:pt idx="4">
                  <c:v>0.36970568589684827</c:v>
                </c:pt>
                <c:pt idx="5">
                  <c:v>0.36651281337157782</c:v>
                </c:pt>
                <c:pt idx="6">
                  <c:v>0.35977631541137234</c:v>
                </c:pt>
                <c:pt idx="7">
                  <c:v>0.35728681419282821</c:v>
                </c:pt>
                <c:pt idx="8">
                  <c:v>0.34572136402095688</c:v>
                </c:pt>
                <c:pt idx="9">
                  <c:v>0.33157299820597308</c:v>
                </c:pt>
                <c:pt idx="10">
                  <c:v>0.30744587408707014</c:v>
                </c:pt>
                <c:pt idx="11">
                  <c:v>0.26459768769206921</c:v>
                </c:pt>
                <c:pt idx="12">
                  <c:v>0.2437330924779704</c:v>
                </c:pt>
                <c:pt idx="13">
                  <c:v>0.23308300363170309</c:v>
                </c:pt>
                <c:pt idx="14">
                  <c:v>0.17151997517448106</c:v>
                </c:pt>
                <c:pt idx="15">
                  <c:v>0.1684623997099951</c:v>
                </c:pt>
                <c:pt idx="16">
                  <c:v>8.7410646248240284E-2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109056"/>
        <c:axId val="110110592"/>
        <c:axId val="0"/>
      </c:bar3DChart>
      <c:catAx>
        <c:axId val="11010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0110592"/>
        <c:crosses val="autoZero"/>
        <c:auto val="1"/>
        <c:lblAlgn val="ctr"/>
        <c:lblOffset val="100"/>
        <c:noMultiLvlLbl val="0"/>
      </c:catAx>
      <c:valAx>
        <c:axId val="110110592"/>
        <c:scaling>
          <c:orientation val="minMax"/>
          <c:max val="0.8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0109056"/>
        <c:crosses val="autoZero"/>
        <c:crossBetween val="between"/>
        <c:majorUnit val="0.1"/>
        <c:minorUnit val="2.0000000000000004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VMCDCHTSR4DK-1850682920-168</_dlc_DocId>
    <_dlc_DocIdUrl xmlns="536e90f3-28f6-43a2-9886-69104c66b47c">
      <Url>http://cms-mof/_layouts/DocIdRedir.aspx?ID=VMCDCHTSR4DK-1850682920-168</Url>
      <Description>VMCDCHTSR4DK-1850682920-168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08E93-84EA-442A-B3E5-29B02495E340}"/>
</file>

<file path=customXml/itemProps2.xml><?xml version="1.0" encoding="utf-8"?>
<ds:datastoreItem xmlns:ds="http://schemas.openxmlformats.org/officeDocument/2006/customXml" ds:itemID="{4A6A78A3-D107-4FCB-A6F2-B4B85B7E8E8A}"/>
</file>

<file path=customXml/itemProps3.xml><?xml version="1.0" encoding="utf-8"?>
<ds:datastoreItem xmlns:ds="http://schemas.openxmlformats.org/officeDocument/2006/customXml" ds:itemID="{76E12624-0B83-4AF5-99C5-2848950D01E3}"/>
</file>

<file path=customXml/itemProps4.xml><?xml version="1.0" encoding="utf-8"?>
<ds:datastoreItem xmlns:ds="http://schemas.openxmlformats.org/officeDocument/2006/customXml" ds:itemID="{4D2320C8-8CBA-4CD0-9714-3C9F181B0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حزيران 2015</dc:title>
  <dc:creator>DR.Ahmed Saker 2o1O</dc:creator>
  <cp:lastModifiedBy>MOF</cp:lastModifiedBy>
  <cp:revision>24</cp:revision>
  <cp:lastPrinted>2015-05-31T07:41:00Z</cp:lastPrinted>
  <dcterms:created xsi:type="dcterms:W3CDTF">2015-08-12T07:16:00Z</dcterms:created>
  <dcterms:modified xsi:type="dcterms:W3CDTF">2015-09-10T10:04:00Z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60b1f5fc-8792-41e1-8aff-156da04fc8a2</vt:lpwstr>
  </property>
</Properties>
</file>