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5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9D" w:rsidRPr="00053C87" w:rsidRDefault="00DF71BD" w:rsidP="00C6341E">
      <w:pPr>
        <w:jc w:val="right"/>
        <w:rPr>
          <w:rFonts w:ascii="Andalus" w:hAnsi="Andalus" w:cs="Andalus"/>
          <w:b/>
          <w:bCs/>
          <w:color w:val="548DD4" w:themeColor="text2" w:themeTint="99"/>
          <w:rtl/>
          <w:lang w:bidi="ar-IQ"/>
        </w:rPr>
      </w:pP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تقرير تنفيذ الموازنة لغاية </w:t>
      </w:r>
      <w:r w:rsidR="00C6341E">
        <w:rPr>
          <w:rFonts w:ascii="Andalus" w:hAnsi="Andalus" w:cs="Andalus" w:hint="cs"/>
          <w:b/>
          <w:bCs/>
          <w:color w:val="548DD4" w:themeColor="text2" w:themeTint="99"/>
          <w:sz w:val="48"/>
          <w:szCs w:val="48"/>
          <w:rtl/>
          <w:lang w:bidi="ar-IQ"/>
        </w:rPr>
        <w:t>تموز</w:t>
      </w: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 2016 للموازنة الجارية         </w:t>
      </w:r>
      <w:r w:rsidRPr="00053C87">
        <w:rPr>
          <w:rFonts w:ascii="Andalus" w:hAnsi="Andalus" w:cs="Andalus"/>
          <w:b/>
          <w:bCs/>
          <w:color w:val="548DD4" w:themeColor="text2" w:themeTint="99"/>
          <w:rtl/>
          <w:lang w:bidi="ar-IQ"/>
        </w:rPr>
        <w:t>(المبالغ بالمليون)</w:t>
      </w:r>
    </w:p>
    <w:tbl>
      <w:tblPr>
        <w:bidiVisual/>
        <w:tblW w:w="5900" w:type="dxa"/>
        <w:tblInd w:w="93" w:type="dxa"/>
        <w:tblLook w:val="04A0"/>
      </w:tblPr>
      <w:tblGrid>
        <w:gridCol w:w="4260"/>
        <w:gridCol w:w="1640"/>
      </w:tblGrid>
      <w:tr w:rsidR="00C6341E" w:rsidRPr="00C6341E" w:rsidTr="00C6341E">
        <w:trPr>
          <w:trHeight w:val="300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ملخص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الانفاق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العام</w:t>
            </w:r>
          </w:p>
        </w:tc>
      </w:tr>
      <w:tr w:rsidR="00C6341E" w:rsidRPr="00C6341E" w:rsidTr="00C6341E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المبالغ</w:t>
            </w:r>
          </w:p>
        </w:tc>
      </w:tr>
      <w:tr w:rsidR="00C6341E" w:rsidRPr="00C6341E" w:rsidTr="00C6341E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الاعتمادات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المصدقة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80,149,411</w:t>
            </w:r>
          </w:p>
        </w:tc>
      </w:tr>
      <w:tr w:rsidR="00C6341E" w:rsidRPr="00C6341E" w:rsidTr="00C6341E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الانفاق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الاجمالي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(المصرف الفعلي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مضافأ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اليه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السلف)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30,881,133</w:t>
            </w:r>
          </w:p>
        </w:tc>
      </w:tr>
    </w:tbl>
    <w:p w:rsidR="00DF71BD" w:rsidRDefault="00DF71BD">
      <w:pPr>
        <w:rPr>
          <w:b/>
          <w:bCs/>
          <w:sz w:val="32"/>
          <w:szCs w:val="32"/>
          <w:rtl/>
          <w:lang w:bidi="ar-IQ"/>
        </w:rPr>
      </w:pPr>
    </w:p>
    <w:p w:rsidR="00DF71BD" w:rsidRDefault="00C6341E">
      <w:pPr>
        <w:rPr>
          <w:b/>
          <w:bCs/>
          <w:sz w:val="32"/>
          <w:szCs w:val="32"/>
          <w:rtl/>
          <w:lang w:bidi="ar-IQ"/>
        </w:rPr>
      </w:pPr>
      <w:r w:rsidRPr="00C6341E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8096250" cy="3881120"/>
            <wp:effectExtent l="19050" t="0" r="19050" b="5080"/>
            <wp:docPr id="5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3C87" w:rsidRDefault="00053C87">
      <w:pPr>
        <w:rPr>
          <w:b/>
          <w:bCs/>
          <w:sz w:val="32"/>
          <w:szCs w:val="32"/>
          <w:rtl/>
          <w:lang w:bidi="ar-IQ"/>
        </w:rPr>
      </w:pPr>
    </w:p>
    <w:p w:rsidR="00C6341E" w:rsidRDefault="00C6341E">
      <w:pPr>
        <w:rPr>
          <w:b/>
          <w:bCs/>
          <w:sz w:val="32"/>
          <w:szCs w:val="32"/>
          <w:rtl/>
          <w:lang w:bidi="ar-IQ"/>
        </w:rPr>
      </w:pPr>
    </w:p>
    <w:tbl>
      <w:tblPr>
        <w:bidiVisual/>
        <w:tblW w:w="5900" w:type="dxa"/>
        <w:tblInd w:w="93" w:type="dxa"/>
        <w:tblLook w:val="04A0"/>
      </w:tblPr>
      <w:tblGrid>
        <w:gridCol w:w="4128"/>
        <w:gridCol w:w="1772"/>
      </w:tblGrid>
      <w:tr w:rsidR="00C6341E" w:rsidRPr="00C6341E" w:rsidTr="00C6341E">
        <w:trPr>
          <w:trHeight w:val="300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الملخص التنفيذي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للأيرادات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والمصروفات </w:t>
            </w:r>
          </w:p>
        </w:tc>
      </w:tr>
      <w:tr w:rsidR="00C6341E" w:rsidRPr="00C6341E" w:rsidTr="00C6341E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المبالغ</w:t>
            </w:r>
          </w:p>
        </w:tc>
      </w:tr>
      <w:tr w:rsidR="00C6341E" w:rsidRPr="00C6341E" w:rsidTr="00C6341E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الأيرادات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26,107,820</w:t>
            </w:r>
          </w:p>
        </w:tc>
      </w:tr>
      <w:tr w:rsidR="00C6341E" w:rsidRPr="00C6341E" w:rsidTr="00C6341E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28,139,418</w:t>
            </w:r>
          </w:p>
        </w:tc>
      </w:tr>
      <w:tr w:rsidR="00C6341E" w:rsidRPr="00C6341E" w:rsidTr="00C6341E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السلف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2,741,715</w:t>
            </w:r>
          </w:p>
        </w:tc>
      </w:tr>
      <w:tr w:rsidR="00C6341E" w:rsidRPr="00C6341E" w:rsidTr="00C6341E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الأجمالي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( المصرف الفعلي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مضافآ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اليه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السلف 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30,881,133</w:t>
            </w:r>
          </w:p>
        </w:tc>
      </w:tr>
    </w:tbl>
    <w:p w:rsidR="00AB1F96" w:rsidRDefault="00AB1F96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  <w:r w:rsidRPr="00C6341E">
        <w:rPr>
          <w:rFonts w:cs="Arial"/>
          <w:b/>
          <w:bCs/>
          <w:noProof/>
          <w:rtl/>
        </w:rPr>
        <w:drawing>
          <wp:inline distT="0" distB="0" distL="0" distR="0">
            <wp:extent cx="8067675" cy="3881120"/>
            <wp:effectExtent l="19050" t="0" r="9525" b="5080"/>
            <wp:docPr id="8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341E" w:rsidRDefault="00C6341E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</w:p>
    <w:tbl>
      <w:tblPr>
        <w:bidiVisual/>
        <w:tblW w:w="6393" w:type="dxa"/>
        <w:tblInd w:w="383" w:type="dxa"/>
        <w:tblLook w:val="04A0"/>
      </w:tblPr>
      <w:tblGrid>
        <w:gridCol w:w="3436"/>
        <w:gridCol w:w="1833"/>
        <w:gridCol w:w="1117"/>
        <w:gridCol w:w="7"/>
      </w:tblGrid>
      <w:tr w:rsidR="00C6341E" w:rsidRPr="00C6341E" w:rsidTr="00A1613D">
        <w:trPr>
          <w:gridAfter w:val="1"/>
          <w:wAfter w:w="7" w:type="dxa"/>
          <w:trHeight w:val="289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جدول الإيرادات حسب تصنيفها</w:t>
            </w:r>
          </w:p>
        </w:tc>
      </w:tr>
      <w:tr w:rsidR="00C6341E" w:rsidRPr="00C6341E" w:rsidTr="00A1613D">
        <w:trPr>
          <w:gridAfter w:val="1"/>
          <w:wAfter w:w="7" w:type="dxa"/>
          <w:trHeight w:val="289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الأيرادات</w:t>
            </w:r>
            <w:proofErr w:type="spellEnd"/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مفروزة حسب نسبة الأهمية النسبية </w:t>
            </w:r>
          </w:p>
        </w:tc>
      </w:tr>
      <w:tr w:rsidR="00C6341E" w:rsidRPr="00C6341E" w:rsidTr="00A1613D">
        <w:trPr>
          <w:trHeight w:val="468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الايرادات</w:t>
            </w:r>
            <w:proofErr w:type="spellEnd"/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الفعلية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634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الايرادات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النفطية والثروات المعدنية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22,537,760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86%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الضرائب على الدخول والثروات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1,405,774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ايرادات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اخرى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772,510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الايرادات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التحويلية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459,178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الرسوم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337,018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الضرائب السلعية ورسوم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الانتاج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318,219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حصة الموازنة من </w:t>
            </w: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ارباح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القطاع العام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255,649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C6341E" w:rsidRPr="00C6341E" w:rsidTr="00A1613D">
        <w:trPr>
          <w:trHeight w:val="28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الايرادات</w:t>
            </w:r>
            <w:proofErr w:type="spellEnd"/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الرأسمالية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21,712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330BDB">
              <w:rPr>
                <w:rFonts w:ascii="Calibri" w:eastAsia="Times New Roman" w:hAnsi="Calibri" w:cs="Calibri"/>
                <w:b/>
                <w:bCs/>
                <w:color w:val="000000"/>
              </w:rPr>
              <w:t>.1</w:t>
            </w: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C6341E" w:rsidRPr="00C6341E" w:rsidTr="00A1613D">
        <w:trPr>
          <w:trHeight w:val="6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المجموع العام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26,107,820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6341E" w:rsidRPr="00C6341E" w:rsidRDefault="00C6341E" w:rsidP="00C634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341E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</w:tbl>
    <w:p w:rsidR="00C6341E" w:rsidRDefault="00C6341E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  <w:r w:rsidRPr="00C6341E">
        <w:rPr>
          <w:rFonts w:cs="Arial"/>
          <w:b/>
          <w:bCs/>
          <w:noProof/>
          <w:rtl/>
        </w:rPr>
        <w:drawing>
          <wp:inline distT="0" distB="0" distL="0" distR="0">
            <wp:extent cx="8105775" cy="3238500"/>
            <wp:effectExtent l="19050" t="0" r="9525" b="0"/>
            <wp:docPr id="12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7F28" w:rsidRDefault="00EC7F28" w:rsidP="00C6341E">
      <w:pPr>
        <w:rPr>
          <w:b/>
          <w:bCs/>
          <w:rtl/>
          <w:lang w:bidi="ar-IQ"/>
        </w:rPr>
      </w:pPr>
    </w:p>
    <w:tbl>
      <w:tblPr>
        <w:bidiVisual/>
        <w:tblW w:w="10230" w:type="dxa"/>
        <w:tblInd w:w="83" w:type="dxa"/>
        <w:tblLook w:val="04A0"/>
      </w:tblPr>
      <w:tblGrid>
        <w:gridCol w:w="4408"/>
        <w:gridCol w:w="2127"/>
        <w:gridCol w:w="1984"/>
        <w:gridCol w:w="1711"/>
      </w:tblGrid>
      <w:tr w:rsidR="00EC7F28" w:rsidRPr="00EC7F28" w:rsidTr="00A1613D">
        <w:trPr>
          <w:trHeight w:val="232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جدول يوضح نسبة التنفيذ للمصروفات حسب التصنيف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الإقتصادي</w:t>
            </w:r>
            <w:proofErr w:type="spellEnd"/>
          </w:p>
        </w:tc>
      </w:tr>
      <w:tr w:rsidR="00EC7F28" w:rsidRPr="00EC7F28" w:rsidTr="00A1613D">
        <w:trPr>
          <w:trHeight w:val="232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المصروفات مفروزة حسب نسبه التنفيذ</w:t>
            </w:r>
          </w:p>
        </w:tc>
      </w:tr>
      <w:tr w:rsidR="00A1613D" w:rsidRPr="00EC7F28" w:rsidTr="00A1613D">
        <w:trPr>
          <w:trHeight w:val="221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613D" w:rsidRPr="00EC7F28" w:rsidRDefault="00A1613D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613D" w:rsidRPr="00EC7F28" w:rsidRDefault="00A1613D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613D" w:rsidRPr="00EC7F28" w:rsidRDefault="00A1613D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613D" w:rsidRPr="00EC7F28" w:rsidRDefault="00A1613D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نسبة التنفيذ 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39,145,464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17,945,879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46%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17,703,772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5,960,681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الالتزامات والمساهمات والمساعدات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الخارجيه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700,926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202,391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521,043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144,696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المنح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والاعانات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وخدمة الدين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14,518,969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3,098,880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21%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2,126,621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344,493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269,694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29,786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11%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4,505,690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399,708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9%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657,231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12,904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</w:tr>
      <w:tr w:rsidR="00A1613D" w:rsidRPr="00EC7F28" w:rsidTr="00A1613D">
        <w:trPr>
          <w:trHeight w:val="23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المجموع العام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80,149,411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28,139,418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1613D" w:rsidRPr="00EC7F28" w:rsidRDefault="00A1613D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</w:rPr>
              <w:t>35%</w:t>
            </w:r>
          </w:p>
        </w:tc>
      </w:tr>
    </w:tbl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  <w:r w:rsidRPr="00EC7F28">
        <w:rPr>
          <w:rFonts w:cs="Arial"/>
          <w:b/>
          <w:bCs/>
          <w:noProof/>
          <w:rtl/>
        </w:rPr>
        <w:drawing>
          <wp:inline distT="0" distB="0" distL="0" distR="0">
            <wp:extent cx="7981950" cy="3238500"/>
            <wp:effectExtent l="19050" t="0" r="19050" b="0"/>
            <wp:docPr id="13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tbl>
      <w:tblPr>
        <w:bidiVisual/>
        <w:tblW w:w="13421" w:type="dxa"/>
        <w:tblInd w:w="93" w:type="dxa"/>
        <w:tblLook w:val="04A0"/>
      </w:tblPr>
      <w:tblGrid>
        <w:gridCol w:w="3612"/>
        <w:gridCol w:w="1860"/>
        <w:gridCol w:w="1671"/>
        <w:gridCol w:w="1913"/>
        <w:gridCol w:w="1833"/>
        <w:gridCol w:w="1203"/>
        <w:gridCol w:w="1329"/>
      </w:tblGrid>
      <w:tr w:rsidR="00EC7F28" w:rsidRPr="00EC7F28" w:rsidTr="00EC7F28">
        <w:trPr>
          <w:trHeight w:val="525"/>
        </w:trPr>
        <w:tc>
          <w:tcPr>
            <w:tcW w:w="1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EC7F28" w:rsidRPr="00EC7F28" w:rsidRDefault="00EC7F28" w:rsidP="00A1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ملخص تنفيذ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الموازنه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حسب التصنيف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الأداري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مع أرصدة السلف  </w:t>
            </w:r>
            <w:r w:rsidR="00A1613D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(الجزء الأول)</w:t>
            </w:r>
          </w:p>
        </w:tc>
      </w:tr>
      <w:tr w:rsidR="00EC7F28" w:rsidRPr="00EC7F28" w:rsidTr="00EC7F28">
        <w:trPr>
          <w:trHeight w:val="600"/>
        </w:trPr>
        <w:tc>
          <w:tcPr>
            <w:tcW w:w="3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7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</w:t>
            </w:r>
            <w:proofErr w:type="spellEnd"/>
            <w:r w:rsidRPr="00EC7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الوزارات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الأجمالي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(فعلي+ سلف ) 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نسبة التنفيذ للنفقات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الفعليه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نسبة التنفيذ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للانفاق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العام 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الدفاع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6,181,886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3,322,287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472,216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3,794,504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الداخلية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9,976,297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5,622,416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-35,215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5,587,201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التربية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7,712,985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4,135,421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8,334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4,143,755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429,207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204,835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8,549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213,384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وزارةالشباب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والرياضة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104,261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50,303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50,975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الصناعة والمعادن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1,076,710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514,127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514,354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مجلس القضاء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الاعلى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452,131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215,304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215,973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1,958,962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514,996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420,137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935,134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العدل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597,434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284,357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284,367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الموارد المائية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265,121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122,222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-910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121,312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2,792,270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1,219,299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57,445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1,276,745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3,192,642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1,236,187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209,469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1,445,656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الثقافة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171,612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62,318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11,602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73,919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196,365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83,205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83,791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17,764,879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7,162,468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243,476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7,405,944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دوائر غير مرتبطة بوزارة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905,912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323,497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41,064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364,562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59,163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23,154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23,197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التخطيط والتعاون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الانمائي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61,859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23,920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23,967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EC7F28" w:rsidRPr="00EC7F28" w:rsidTr="00EC7F28">
        <w:trPr>
          <w:trHeight w:val="31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الصحة والبيئة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4,980,837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1,632,694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217,627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1,850,321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</w:tbl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  <w:r w:rsidRPr="00EC7F28">
        <w:rPr>
          <w:rFonts w:cs="Arial"/>
          <w:b/>
          <w:bCs/>
          <w:noProof/>
          <w:rtl/>
        </w:rPr>
        <w:drawing>
          <wp:inline distT="0" distB="0" distL="0" distR="0">
            <wp:extent cx="8115300" cy="5572125"/>
            <wp:effectExtent l="19050" t="0" r="19050" b="0"/>
            <wp:docPr id="14" name="مخطط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tbl>
      <w:tblPr>
        <w:bidiVisual/>
        <w:tblW w:w="13420" w:type="dxa"/>
        <w:tblInd w:w="93" w:type="dxa"/>
        <w:tblLook w:val="04A0"/>
      </w:tblPr>
      <w:tblGrid>
        <w:gridCol w:w="3690"/>
        <w:gridCol w:w="1900"/>
        <w:gridCol w:w="1625"/>
        <w:gridCol w:w="1828"/>
        <w:gridCol w:w="1790"/>
        <w:gridCol w:w="1229"/>
        <w:gridCol w:w="1358"/>
      </w:tblGrid>
      <w:tr w:rsidR="00EC7F28" w:rsidRPr="00EC7F28" w:rsidTr="00EC7F28">
        <w:trPr>
          <w:trHeight w:val="525"/>
        </w:trPr>
        <w:tc>
          <w:tcPr>
            <w:tcW w:w="1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ملخص تنفيذ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الموازنه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حسب التصنيف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الأداري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مع أرصدة السلف  </w:t>
            </w:r>
            <w:r w:rsidR="00A1613D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EC7F28" w:rsidRPr="00EC7F28" w:rsidTr="00EC7F28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7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</w:t>
            </w:r>
            <w:proofErr w:type="spellEnd"/>
            <w:r w:rsidRPr="00EC7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الوزارات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أرصدة السلف 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الأنفاق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الأجمالي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(فعلي+ سلف )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نسبة التنفيذ للنفقات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الفعليه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ED5"/>
            <w:vAlign w:val="center"/>
            <w:hideMark/>
          </w:tcPr>
          <w:p w:rsidR="00EC7F28" w:rsidRPr="00EC7F28" w:rsidRDefault="00EC7F28" w:rsidP="00EC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نسبة التنفيذ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للانفاق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العام 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الاعمار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والاسكان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1,006,481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331,586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28,155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359,741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الخارجية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348,780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57,335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39,606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96,941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العمل والشؤون الاجتماعية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2,229,148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604,550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605,198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النفط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2,049,568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153,620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397,911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551,531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801,651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139,816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52,802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192,618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1,169,211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47,432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216,384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263,816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4,304,520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27,060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350,885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377,945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174,521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10,304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10,319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6%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البلديات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والاشغال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2,363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2,387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العلوم والتكنولوجيا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وزارة البيئة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-1,645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-1,645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وزارة حقوق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الانسان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محافظة بغداد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1,557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1,557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محافظة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1,557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-130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1,427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محافظة بابل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2,248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2,239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امحافظة</w:t>
            </w:r>
            <w:proofErr w:type="spellEnd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واسط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1,698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1,782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محافظة النجف </w:t>
            </w:r>
            <w:proofErr w:type="spellStart"/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الاشرف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1,237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1,236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محافظة الديوانية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1,710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1,692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محافظة المثنى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F28" w:rsidRPr="00EC7F28" w:rsidTr="00EC7F28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7F28" w:rsidRPr="00EC7F28" w:rsidRDefault="00EC7F28" w:rsidP="00EC7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محافظة كربلاء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1,286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EC7F28" w:rsidRPr="00EC7F28" w:rsidRDefault="00EC7F28" w:rsidP="00EC7F28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C7F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Pr="00F92E05" w:rsidRDefault="00EC7F28" w:rsidP="00C6341E">
      <w:pPr>
        <w:rPr>
          <w:b/>
          <w:bCs/>
          <w:lang w:bidi="ar-IQ"/>
        </w:rPr>
      </w:pPr>
      <w:r w:rsidRPr="00EC7F28">
        <w:rPr>
          <w:rFonts w:cs="Arial"/>
          <w:b/>
          <w:bCs/>
          <w:noProof/>
          <w:rtl/>
        </w:rPr>
        <w:drawing>
          <wp:inline distT="0" distB="0" distL="0" distR="0">
            <wp:extent cx="8086725" cy="5695950"/>
            <wp:effectExtent l="19050" t="0" r="9525" b="0"/>
            <wp:docPr id="15" name="مخطط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C7F28" w:rsidRPr="00F92E05" w:rsidSect="00C6341E">
      <w:footerReference w:type="default" r:id="rId13"/>
      <w:pgSz w:w="16838" w:h="11906" w:orient="landscape"/>
      <w:pgMar w:top="709" w:right="2096" w:bottom="426" w:left="1985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5D" w:rsidRDefault="000F125D" w:rsidP="000105EC">
      <w:pPr>
        <w:spacing w:after="0" w:line="240" w:lineRule="auto"/>
      </w:pPr>
      <w:r>
        <w:separator/>
      </w:r>
    </w:p>
  </w:endnote>
  <w:endnote w:type="continuationSeparator" w:id="1">
    <w:p w:rsidR="000F125D" w:rsidRDefault="000F125D" w:rsidP="000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1006879"/>
      <w:docPartObj>
        <w:docPartGallery w:val="Page Numbers (Bottom of Page)"/>
        <w:docPartUnique/>
      </w:docPartObj>
    </w:sdtPr>
    <w:sdtContent>
      <w:p w:rsidR="000105EC" w:rsidRDefault="00486664">
        <w:pPr>
          <w:pStyle w:val="a5"/>
          <w:jc w:val="center"/>
        </w:pPr>
        <w:fldSimple w:instr=" PAGE   \* MERGEFORMAT ">
          <w:r w:rsidR="00330BDB">
            <w:rPr>
              <w:noProof/>
              <w:rtl/>
            </w:rPr>
            <w:t>1</w:t>
          </w:r>
        </w:fldSimple>
      </w:p>
    </w:sdtContent>
  </w:sdt>
  <w:p w:rsidR="000105EC" w:rsidRDefault="000105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5D" w:rsidRDefault="000F125D" w:rsidP="000105EC">
      <w:pPr>
        <w:spacing w:after="0" w:line="240" w:lineRule="auto"/>
      </w:pPr>
      <w:r>
        <w:separator/>
      </w:r>
    </w:p>
  </w:footnote>
  <w:footnote w:type="continuationSeparator" w:id="1">
    <w:p w:rsidR="000F125D" w:rsidRDefault="000F125D" w:rsidP="0001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1BD"/>
    <w:rsid w:val="0000556B"/>
    <w:rsid w:val="000105EC"/>
    <w:rsid w:val="000508B7"/>
    <w:rsid w:val="00053C87"/>
    <w:rsid w:val="000F125D"/>
    <w:rsid w:val="001D0D2C"/>
    <w:rsid w:val="00216C5B"/>
    <w:rsid w:val="00330BDB"/>
    <w:rsid w:val="0044606E"/>
    <w:rsid w:val="004558F6"/>
    <w:rsid w:val="00483D9D"/>
    <w:rsid w:val="00486664"/>
    <w:rsid w:val="007F42B8"/>
    <w:rsid w:val="0088731F"/>
    <w:rsid w:val="008C7529"/>
    <w:rsid w:val="009648A0"/>
    <w:rsid w:val="009962DE"/>
    <w:rsid w:val="00A1613D"/>
    <w:rsid w:val="00AB1F96"/>
    <w:rsid w:val="00AB2207"/>
    <w:rsid w:val="00B8507C"/>
    <w:rsid w:val="00BA7C23"/>
    <w:rsid w:val="00C6341E"/>
    <w:rsid w:val="00CF53C2"/>
    <w:rsid w:val="00D61BC0"/>
    <w:rsid w:val="00DF71BD"/>
    <w:rsid w:val="00EC7F28"/>
    <w:rsid w:val="00F062EF"/>
    <w:rsid w:val="00F41CCF"/>
    <w:rsid w:val="00F9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71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105EC"/>
  </w:style>
  <w:style w:type="paragraph" w:styleId="a5">
    <w:name w:val="footer"/>
    <w:basedOn w:val="a"/>
    <w:link w:val="Char1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010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i\Desktop\&#1578;&#1602;&#1585;&#1610;&#1585;%20&#1578;&#1606;&#1601;&#1610;&#1584;%20&#1575;&#1604;&#1605;&#1608;&#1575;&#1586;&#1606;&#1577;%20&#1604;&#1588;&#1607;&#1585;%20&#1581;&#1586;&#1610;&#1585;&#1575;&#1606;%202016\&#1578;&#1602;&#1585;&#1610;&#1585;%20&#1578;&#1606;&#1601;&#1610;&#1584;%20&#1575;&#1604;&#1605;&#1608;&#1575;&#1586;&#1606;&#1577;%20&#1604;&#1594;&#1575;&#1610;&#1577;%20&#1581;&#1586;&#1610;&#1585;&#1575;&#1606;%202016-&#1605;&#1608;&#1575;&#1586;&#1606;&#1607;%20&#1580;&#1575;&#1585;&#1610;&#1607;%20-%20Cop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523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>
              <c:idx val="0"/>
              <c:layout>
                <c:manualLayout>
                  <c:x val="-3.2768647542878261E-2"/>
                  <c:y val="-0.43659574734062895"/>
                </c:manualLayout>
              </c:layout>
              <c:showVal val="1"/>
            </c:dLbl>
            <c:dLbl>
              <c:idx val="1"/>
              <c:layout>
                <c:manualLayout>
                  <c:x val="-5.4613152091442024E-3"/>
                  <c:y val="-0.17135389860668887"/>
                </c:manualLayout>
              </c:layout>
              <c:showVal val="1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30881133.424350571</c:v>
                </c:pt>
              </c:numCache>
            </c:numRef>
          </c:val>
        </c:ser>
        <c:shape val="cylinder"/>
        <c:axId val="69128576"/>
        <c:axId val="69130112"/>
        <c:axId val="0"/>
      </c:bar3DChart>
      <c:catAx>
        <c:axId val="691285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69130112"/>
        <c:crosses val="autoZero"/>
        <c:auto val="1"/>
        <c:lblAlgn val="ctr"/>
        <c:lblOffset val="100"/>
      </c:catAx>
      <c:valAx>
        <c:axId val="69130112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6912857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3032217988052188"/>
          <c:y val="3.55923485620699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5.0062633196031989E-17"/>
                  <c:y val="-2.5067698411902081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8.1914890643621247E-3"/>
                  <c:y val="-3.7637473093158041E-2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1.0922882514292747E-2"/>
                  <c:y val="-2.9245648147219219E-2"/>
                </c:manualLayout>
              </c:layout>
              <c:showLegendKey val="1"/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26107820.475833524</c:v>
                </c:pt>
                <c:pt idx="1">
                  <c:v>28139418.091046982</c:v>
                </c:pt>
                <c:pt idx="2">
                  <c:v>2741715.3333035405</c:v>
                </c:pt>
                <c:pt idx="3">
                  <c:v>30881133.424350522</c:v>
                </c:pt>
              </c:numCache>
            </c:numRef>
          </c:val>
        </c:ser>
        <c:shape val="cylinder"/>
        <c:axId val="71207552"/>
        <c:axId val="71217536"/>
        <c:axId val="0"/>
      </c:bar3DChart>
      <c:catAx>
        <c:axId val="712075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217536"/>
        <c:crosses val="autoZero"/>
        <c:auto val="1"/>
        <c:lblAlgn val="ctr"/>
        <c:lblOffset val="100"/>
      </c:catAx>
      <c:valAx>
        <c:axId val="71217536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20755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/>
          </a:p>
        </c:rich>
      </c:tx>
      <c:layout>
        <c:manualLayout>
          <c:xMode val="edge"/>
          <c:yMode val="edge"/>
          <c:x val="0.51781451182348281"/>
          <c:y val="3.7601547617853351E-2"/>
        </c:manualLayout>
      </c:layout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Lbl>
              <c:idx val="0"/>
              <c:layout>
                <c:manualLayout>
                  <c:x val="-1.0922990022978906E-2"/>
                  <c:y val="-0.40526112432575045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1.2288242828579286E-2"/>
                  <c:y val="-8.1470019838681684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9115044400012309E-2"/>
                  <c:y val="-6.0580271162096834E-2"/>
                </c:manualLayout>
              </c:layout>
              <c:showLegendKey val="1"/>
              <c:showVal val="1"/>
            </c:dLbl>
            <c:dLbl>
              <c:idx val="3"/>
              <c:layout>
                <c:manualLayout>
                  <c:x val="-6.8268015714329638E-3"/>
                  <c:y val="-6.0580271162096834E-2"/>
                </c:manualLayout>
              </c:layout>
              <c:showLegendKey val="1"/>
              <c:showVal val="1"/>
            </c:dLbl>
            <c:dLbl>
              <c:idx val="4"/>
              <c:layout>
                <c:manualLayout>
                  <c:x val="-1.3653603142865943E-2"/>
                  <c:y val="-5.849129629443843E-2"/>
                </c:manualLayout>
              </c:layout>
              <c:showLegendKey val="1"/>
              <c:showVal val="1"/>
            </c:dLbl>
            <c:dLbl>
              <c:idx val="5"/>
              <c:layout>
                <c:manualLayout>
                  <c:x val="-1.2288242828579286E-2"/>
                  <c:y val="-4.5957447088487167E-2"/>
                </c:manualLayout>
              </c:layout>
              <c:showLegendKey val="1"/>
              <c:showVal val="1"/>
            </c:dLbl>
            <c:dLbl>
              <c:idx val="6"/>
              <c:layout>
                <c:manualLayout>
                  <c:x val="-1.3653603142865943E-2"/>
                  <c:y val="-4.3868472220828826E-2"/>
                </c:manualLayout>
              </c:layout>
              <c:showLegendKey val="1"/>
              <c:showVal val="1"/>
            </c:dLbl>
            <c:dLbl>
              <c:idx val="7"/>
              <c:layout>
                <c:manualLayout>
                  <c:x val="-1.638432377143912E-2"/>
                  <c:y val="-4.5957447088487167E-2"/>
                </c:manualLayout>
              </c:layout>
              <c:showLegendKey val="1"/>
              <c:showVal val="1"/>
            </c:dLbl>
            <c:dLbl>
              <c:idx val="8"/>
              <c:layout>
                <c:manualLayout>
                  <c:x val="-5.4614412571463824E-3"/>
                  <c:y val="-4.3868472220828826E-2"/>
                </c:manualLayout>
              </c:layout>
              <c:showLegendKey val="1"/>
              <c:showVal val="1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lang="ar-IQ" sz="1050" b="1"/>
                </a:pPr>
                <a:endParaRPr lang="en-US"/>
              </a:p>
            </c:txPr>
            <c:showLegendKey val="1"/>
            <c:showVal val="1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ايرادات اخرى</c:v>
                </c:pt>
                <c:pt idx="3">
                  <c:v> الايرادات التحويلية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0.86325706503735333</c:v>
                </c:pt>
                <c:pt idx="1">
                  <c:v>5.3844943014802825E-2</c:v>
                </c:pt>
                <c:pt idx="2">
                  <c:v>2.9589226462876143E-2</c:v>
                </c:pt>
                <c:pt idx="3">
                  <c:v>1.7587763416952219E-2</c:v>
                </c:pt>
                <c:pt idx="4">
                  <c:v>1.2908680084289919E-2</c:v>
                </c:pt>
                <c:pt idx="5">
                  <c:v>1.2188654833158383E-2</c:v>
                </c:pt>
                <c:pt idx="6">
                  <c:v>9.7920321404962492E-3</c:v>
                </c:pt>
                <c:pt idx="7">
                  <c:v>8.3163501007059144E-4</c:v>
                </c:pt>
              </c:numCache>
            </c:numRef>
          </c:val>
        </c:ser>
        <c:shape val="cylinder"/>
        <c:axId val="71577600"/>
        <c:axId val="71579136"/>
        <c:axId val="0"/>
      </c:bar3DChart>
      <c:catAx>
        <c:axId val="715776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71579136"/>
        <c:crosses val="autoZero"/>
        <c:auto val="1"/>
        <c:lblAlgn val="ctr"/>
        <c:lblOffset val="100"/>
      </c:catAx>
      <c:valAx>
        <c:axId val="715791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7157760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4414037882190658"/>
          <c:y val="4.1817493667692128E-2"/>
        </c:manualLayout>
      </c:layou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0922882514292747E-2"/>
                  <c:y val="-1.8800773808926616E-2"/>
                </c:manualLayout>
              </c:layout>
              <c:showVal val="1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Val val="1"/>
            </c:dLbl>
            <c:dLbl>
              <c:idx val="2"/>
              <c:layout>
                <c:manualLayout>
                  <c:x val="4.0960809428597783E-3"/>
                  <c:y val="-2.0889748676585204E-2"/>
                </c:manualLayout>
              </c:layout>
              <c:showVal val="1"/>
            </c:dLbl>
            <c:dLbl>
              <c:idx val="3"/>
              <c:layout>
                <c:manualLayout>
                  <c:x val="5.4614412571464214E-3"/>
                  <c:y val="-2.0889748676585204E-2"/>
                </c:manualLayout>
              </c:layout>
              <c:showVal val="1"/>
            </c:dLbl>
            <c:dLbl>
              <c:idx val="4"/>
              <c:layout>
                <c:manualLayout>
                  <c:x val="6.8268015714329638E-3"/>
                  <c:y val="-2.088974867658520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Val val="1"/>
            </c:dLbl>
            <c:dLbl>
              <c:idx val="6"/>
              <c:layout>
                <c:manualLayout>
                  <c:x val="1.3653603142865969E-3"/>
                  <c:y val="-1.8800773808926616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Val val="1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الرعاية الاجتماعية</c:v>
                </c:pt>
                <c:pt idx="2">
                  <c:v>الالتزامات والمساهمات والمساعدات الخارجيه</c:v>
                </c:pt>
                <c:pt idx="3">
                  <c:v> صيانة الموجودات</c:v>
                </c:pt>
                <c:pt idx="4">
                  <c:v> المنح والاعانات وخدمة الدين</c:v>
                </c:pt>
                <c:pt idx="5">
                  <c:v> المستلزمات الخدمية</c:v>
                </c:pt>
                <c:pt idx="6">
                  <c:v> النفقات الرأسمالية</c:v>
                </c:pt>
                <c:pt idx="7">
                  <c:v> المستلزمات السلعية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0.45844081401859643</c:v>
                </c:pt>
                <c:pt idx="1">
                  <c:v>0.33668988989282794</c:v>
                </c:pt>
                <c:pt idx="2">
                  <c:v>0.28874857714707391</c:v>
                </c:pt>
                <c:pt idx="3">
                  <c:v>0.27770378499520532</c:v>
                </c:pt>
                <c:pt idx="4">
                  <c:v>0.21343666570592118</c:v>
                </c:pt>
                <c:pt idx="5">
                  <c:v>0.16199099144702592</c:v>
                </c:pt>
                <c:pt idx="6">
                  <c:v>0.11044534712183078</c:v>
                </c:pt>
                <c:pt idx="7">
                  <c:v>8.8711755600935999E-2</c:v>
                </c:pt>
                <c:pt idx="8">
                  <c:v>1.9633139978003981E-2</c:v>
                </c:pt>
              </c:numCache>
            </c:numRef>
          </c:val>
        </c:ser>
        <c:shape val="cylinder"/>
        <c:axId val="71620096"/>
        <c:axId val="71621632"/>
        <c:axId val="0"/>
      </c:bar3DChart>
      <c:catAx>
        <c:axId val="71620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621632"/>
        <c:crosses val="autoZero"/>
        <c:auto val="1"/>
        <c:lblAlgn val="ctr"/>
        <c:lblOffset val="100"/>
      </c:catAx>
      <c:valAx>
        <c:axId val="716216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6200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6162215126171122"/>
          <c:y val="3.7601547617853351E-2"/>
        </c:manualLayout>
      </c:layout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clustered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</c:dLbls>
          <c:cat>
            <c:strRef>
              <c:f>'ورقه عمل'!$A$53:$A$71</c:f>
              <c:strCache>
                <c:ptCount val="19"/>
                <c:pt idx="0">
                  <c:v>وزارة الدفاع</c:v>
                </c:pt>
                <c:pt idx="1">
                  <c:v>وزارة الداخلية </c:v>
                </c:pt>
                <c:pt idx="2">
                  <c:v>وزارة التربية</c:v>
                </c:pt>
                <c:pt idx="3">
                  <c:v>مجلس النواب</c:v>
                </c:pt>
                <c:pt idx="4">
                  <c:v>وزارةالشباب والرياضة</c:v>
                </c:pt>
                <c:pt idx="5">
                  <c:v>وزارة الصناعة والمعادن</c:v>
                </c:pt>
                <c:pt idx="6">
                  <c:v>مجلس القضاء الاعلى</c:v>
                </c:pt>
                <c:pt idx="7">
                  <c:v>وزارة الكهرباء</c:v>
                </c:pt>
                <c:pt idx="8">
                  <c:v>وزارة العدل </c:v>
                </c:pt>
                <c:pt idx="9">
                  <c:v>وزارة الموارد المائية </c:v>
                </c:pt>
                <c:pt idx="10">
                  <c:v>وزارة التعليم العالي والبحث العلمي</c:v>
                </c:pt>
                <c:pt idx="11">
                  <c:v>مجلس الوزراء</c:v>
                </c:pt>
                <c:pt idx="12">
                  <c:v>وزارة الثقافة</c:v>
                </c:pt>
                <c:pt idx="13">
                  <c:v>وزارة النقل</c:v>
                </c:pt>
                <c:pt idx="14">
                  <c:v>وزارة المالية</c:v>
                </c:pt>
                <c:pt idx="15">
                  <c:v>دوائر غير مرتبطة بوزارة </c:v>
                </c:pt>
                <c:pt idx="16">
                  <c:v>رئاسة الجمهورية</c:v>
                </c:pt>
                <c:pt idx="17">
                  <c:v>وزارة التخطيط والتعاون الانمائي</c:v>
                </c:pt>
                <c:pt idx="18">
                  <c:v>وزارة الصحة والبيئة</c:v>
                </c:pt>
              </c:strCache>
            </c:strRef>
          </c:cat>
          <c:val>
            <c:numRef>
              <c:f>'ورقه عمل'!$G$53:$G$71</c:f>
              <c:numCache>
                <c:formatCode>0%</c:formatCode>
                <c:ptCount val="19"/>
                <c:pt idx="0">
                  <c:v>0.61381005539675471</c:v>
                </c:pt>
                <c:pt idx="1">
                  <c:v>0.56004762654191664</c:v>
                </c:pt>
                <c:pt idx="2">
                  <c:v>0.53724400663076644</c:v>
                </c:pt>
                <c:pt idx="3">
                  <c:v>0.49715812148855576</c:v>
                </c:pt>
                <c:pt idx="4">
                  <c:v>0.48891381641269577</c:v>
                </c:pt>
                <c:pt idx="5">
                  <c:v>0.47770950628759906</c:v>
                </c:pt>
                <c:pt idx="6">
                  <c:v>0.47767809850010678</c:v>
                </c:pt>
                <c:pt idx="7">
                  <c:v>0.47736180696503783</c:v>
                </c:pt>
                <c:pt idx="8">
                  <c:v>0.47598044358698927</c:v>
                </c:pt>
                <c:pt idx="9">
                  <c:v>0.45757041773876356</c:v>
                </c:pt>
                <c:pt idx="10">
                  <c:v>0.45724251187579384</c:v>
                </c:pt>
                <c:pt idx="11">
                  <c:v>0.45280873066788663</c:v>
                </c:pt>
                <c:pt idx="12">
                  <c:v>0.43073695347054991</c:v>
                </c:pt>
                <c:pt idx="13">
                  <c:v>0.42670951476190605</c:v>
                </c:pt>
                <c:pt idx="14">
                  <c:v>0.41688685239745243</c:v>
                </c:pt>
                <c:pt idx="15">
                  <c:v>0.4024255238567383</c:v>
                </c:pt>
                <c:pt idx="16">
                  <c:v>0.39208254694553563</c:v>
                </c:pt>
                <c:pt idx="17">
                  <c:v>0.38744361917177239</c:v>
                </c:pt>
                <c:pt idx="18">
                  <c:v>0.3714880003492666</c:v>
                </c:pt>
              </c:numCache>
            </c:numRef>
          </c:val>
        </c:ser>
        <c:shape val="cylinder"/>
        <c:axId val="71396352"/>
        <c:axId val="71414528"/>
        <c:axId val="0"/>
      </c:bar3DChart>
      <c:catAx>
        <c:axId val="713963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414528"/>
        <c:crosses val="autoZero"/>
        <c:auto val="1"/>
        <c:lblAlgn val="ctr"/>
        <c:lblOffset val="100"/>
      </c:catAx>
      <c:valAx>
        <c:axId val="714145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3963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905395581435956"/>
          <c:y val="3.9690522485511692E-2"/>
        </c:manualLayout>
      </c:layout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otY val="340"/>
      <c:rAngAx val="1"/>
    </c:view3D>
    <c:plotArea>
      <c:layout/>
      <c:bar3DChart>
        <c:barDir val="col"/>
        <c:grouping val="clustered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</c:dLbls>
          <c:cat>
            <c:strRef>
              <c:f>'ورقه عمل'!$A$72:$A$91</c:f>
              <c:strCache>
                <c:ptCount val="20"/>
                <c:pt idx="0">
                  <c:v>وزارة الاعمار والاسكان </c:v>
                </c:pt>
                <c:pt idx="1">
                  <c:v>وزارة الخارجية </c:v>
                </c:pt>
                <c:pt idx="2">
                  <c:v>وزارة العمل والشؤون الاجتماعية</c:v>
                </c:pt>
                <c:pt idx="3">
                  <c:v>وزارة النفط</c:v>
                </c:pt>
                <c:pt idx="4">
                  <c:v>وزارة الزراعة</c:v>
                </c:pt>
                <c:pt idx="5">
                  <c:v>وزارة المهجرين والمهاجرين</c:v>
                </c:pt>
                <c:pt idx="6">
                  <c:v>وزارة التجارة</c:v>
                </c:pt>
                <c:pt idx="7">
                  <c:v>وزارة الاتصالات</c:v>
                </c:pt>
                <c:pt idx="8">
                  <c:v>وزارة البلديات والاشغال</c:v>
                </c:pt>
                <c:pt idx="9">
                  <c:v>وزارة العلوم والتكنولوجيا</c:v>
                </c:pt>
                <c:pt idx="10">
                  <c:v>وزارة البيئة</c:v>
                </c:pt>
                <c:pt idx="11">
                  <c:v>وزارة حقوق الانسان</c:v>
                </c:pt>
                <c:pt idx="12">
                  <c:v>محافظة بغداد</c:v>
                </c:pt>
                <c:pt idx="13">
                  <c:v>محافظة ديالى</c:v>
                </c:pt>
                <c:pt idx="14">
                  <c:v>محافظة بابل</c:v>
                </c:pt>
                <c:pt idx="15">
                  <c:v>امحافظة واسط</c:v>
                </c:pt>
                <c:pt idx="16">
                  <c:v>محافظة النجف الاشرف</c:v>
                </c:pt>
                <c:pt idx="17">
                  <c:v>محافظة الديوانية</c:v>
                </c:pt>
                <c:pt idx="18">
                  <c:v>محافظة المثنى</c:v>
                </c:pt>
                <c:pt idx="19">
                  <c:v>محافظة كربلاء</c:v>
                </c:pt>
              </c:strCache>
            </c:strRef>
          </c:cat>
          <c:val>
            <c:numRef>
              <c:f>'ورقه عمل'!$G$72:$G$91</c:f>
              <c:numCache>
                <c:formatCode>0%</c:formatCode>
                <c:ptCount val="20"/>
                <c:pt idx="0">
                  <c:v>0.35742516856491763</c:v>
                </c:pt>
                <c:pt idx="1">
                  <c:v>0.2779420616688914</c:v>
                </c:pt>
                <c:pt idx="2">
                  <c:v>0.27149315207473079</c:v>
                </c:pt>
                <c:pt idx="3">
                  <c:v>0.26909648269448588</c:v>
                </c:pt>
                <c:pt idx="4">
                  <c:v>0.24027629376990561</c:v>
                </c:pt>
                <c:pt idx="5">
                  <c:v>0.22563585088529203</c:v>
                </c:pt>
                <c:pt idx="6">
                  <c:v>8.7801851654426194E-2</c:v>
                </c:pt>
                <c:pt idx="7">
                  <c:v>5.9125585369237975E-2</c:v>
                </c:pt>
              </c:numCache>
            </c:numRef>
          </c:val>
        </c:ser>
        <c:shape val="cylinder"/>
        <c:axId val="71432448"/>
        <c:axId val="71704576"/>
        <c:axId val="0"/>
      </c:bar3DChart>
      <c:catAx>
        <c:axId val="71432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704576"/>
        <c:crosses val="autoZero"/>
        <c:auto val="1"/>
        <c:lblAlgn val="ctr"/>
        <c:lblOffset val="100"/>
      </c:catAx>
      <c:valAx>
        <c:axId val="717045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714324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VMCDCHTSR4DK-1850682920-324</_dlc_DocId>
    <_dlc_DocIdUrl xmlns="536e90f3-28f6-43a2-9886-69104c66b47c">
      <Url>http://cms-mof/_layouts/DocIdRedir.aspx?ID=VMCDCHTSR4DK-1850682920-324</Url>
      <Description>VMCDCHTSR4DK-1850682920-324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2AF1C7-F707-481A-9CCE-CF60A7F2586D}"/>
</file>

<file path=customXml/itemProps2.xml><?xml version="1.0" encoding="utf-8"?>
<ds:datastoreItem xmlns:ds="http://schemas.openxmlformats.org/officeDocument/2006/customXml" ds:itemID="{0EFDE6A5-02BA-44BF-B9DD-23A40FD66B41}"/>
</file>

<file path=customXml/itemProps3.xml><?xml version="1.0" encoding="utf-8"?>
<ds:datastoreItem xmlns:ds="http://schemas.openxmlformats.org/officeDocument/2006/customXml" ds:itemID="{F96709B2-4B9D-49F9-A617-6819EB47B2FC}"/>
</file>

<file path=customXml/itemProps4.xml><?xml version="1.0" encoding="utf-8"?>
<ds:datastoreItem xmlns:ds="http://schemas.openxmlformats.org/officeDocument/2006/customXml" ds:itemID="{0A4AD60A-1465-40DF-9492-4E31B7E7B6E1}"/>
</file>

<file path=customXml/itemProps5.xml><?xml version="1.0" encoding="utf-8"?>
<ds:datastoreItem xmlns:ds="http://schemas.openxmlformats.org/officeDocument/2006/customXml" ds:itemID="{F6446DA2-FC1D-45BB-A21D-6776582B3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حزيران 2016</dc:title>
  <dc:subject/>
  <dc:creator>MOF</dc:creator>
  <cp:keywords/>
  <dc:description/>
  <cp:lastModifiedBy>Hani</cp:lastModifiedBy>
  <cp:revision>12</cp:revision>
  <dcterms:created xsi:type="dcterms:W3CDTF">2016-07-31T10:16:00Z</dcterms:created>
  <dcterms:modified xsi:type="dcterms:W3CDTF">2016-10-11T06:41:00Z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2e3408e1-4b37-465c-b43a-636083b855cf</vt:lpwstr>
  </property>
</Properties>
</file>