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E8" w:rsidRPr="00B444BB" w:rsidRDefault="00A332E8" w:rsidP="005315F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bookmarkStart w:id="0" w:name="_GoBack"/>
      <w:bookmarkEnd w:id="0"/>
      <w:r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تقرير تنفيذ الموازنة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</w:t>
      </w:r>
      <w:r w:rsidR="005315FB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للموازنة الجارية</w:t>
      </w:r>
      <w:r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 xml:space="preserve"> لغاية كانون الثاني 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لسنة 2015</w:t>
      </w:r>
      <w:r w:rsidR="00B444B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                       </w:t>
      </w:r>
      <w:r w:rsidR="00B444BB" w:rsidRPr="00B444BB">
        <w:rPr>
          <w:rFonts w:ascii="Andalus" w:hAnsi="Andalus" w:cs="Andalus" w:hint="cs"/>
          <w:b/>
          <w:bCs/>
          <w:i/>
          <w:iCs/>
          <w:sz w:val="72"/>
          <w:szCs w:val="72"/>
          <w:rtl/>
        </w:rPr>
        <w:t xml:space="preserve"> </w:t>
      </w:r>
      <w:r w:rsidR="00B444BB" w:rsidRPr="00B444BB">
        <w:rPr>
          <w:rFonts w:ascii="Andalus" w:hAnsi="Andalus" w:cs="Andalus" w:hint="cs"/>
          <w:b/>
          <w:bCs/>
          <w:i/>
          <w:iCs/>
          <w:sz w:val="24"/>
          <w:szCs w:val="24"/>
          <w:rtl/>
        </w:rPr>
        <w:t>(المبالغ بالمليون)</w:t>
      </w:r>
    </w:p>
    <w:tbl>
      <w:tblPr>
        <w:bidiVisual/>
        <w:tblW w:w="7700" w:type="dxa"/>
        <w:tblInd w:w="-604" w:type="dxa"/>
        <w:tblLook w:val="04A0" w:firstRow="1" w:lastRow="0" w:firstColumn="1" w:lastColumn="0" w:noHBand="0" w:noVBand="1"/>
      </w:tblPr>
      <w:tblGrid>
        <w:gridCol w:w="4900"/>
        <w:gridCol w:w="2800"/>
      </w:tblGrid>
      <w:tr w:rsidR="00F12553" w:rsidRPr="00F12553" w:rsidTr="00AC4511">
        <w:trPr>
          <w:trHeight w:val="167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ملخص الانفاق العام </w:t>
            </w:r>
          </w:p>
        </w:tc>
      </w:tr>
      <w:tr w:rsidR="00F12553" w:rsidRPr="00F12553" w:rsidTr="00AC4511">
        <w:trPr>
          <w:trHeight w:val="16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12553" w:rsidRPr="00F12553" w:rsidTr="00AC4511">
        <w:trPr>
          <w:trHeight w:val="16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</w:tr>
      <w:tr w:rsidR="00F12553" w:rsidRPr="00F12553" w:rsidTr="00AC4511">
        <w:trPr>
          <w:trHeight w:val="36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2,406,025</w:t>
            </w:r>
          </w:p>
        </w:tc>
      </w:tr>
    </w:tbl>
    <w:p w:rsidR="005315FB" w:rsidRDefault="005315FB" w:rsidP="00F12553">
      <w:pPr>
        <w:ind w:left="-694"/>
        <w:rPr>
          <w:rtl/>
          <w:lang w:bidi="ar-IQ"/>
        </w:rPr>
      </w:pPr>
    </w:p>
    <w:p w:rsidR="00F12553" w:rsidRDefault="00F12553" w:rsidP="00F12553">
      <w:pPr>
        <w:ind w:left="-694"/>
        <w:rPr>
          <w:rtl/>
        </w:rPr>
      </w:pPr>
      <w:r>
        <w:rPr>
          <w:noProof/>
        </w:rPr>
        <w:drawing>
          <wp:inline distT="0" distB="0" distL="0" distR="0" wp14:anchorId="23C592A5" wp14:editId="6D978799">
            <wp:extent cx="7007469" cy="2628900"/>
            <wp:effectExtent l="0" t="0" r="222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19B9" w:rsidRDefault="00DB19B9" w:rsidP="00F12553">
      <w:pPr>
        <w:ind w:left="-694"/>
        <w:rPr>
          <w:rtl/>
        </w:rPr>
      </w:pPr>
    </w:p>
    <w:p w:rsidR="00EE6E7F" w:rsidRDefault="00EE6E7F" w:rsidP="00F12553">
      <w:pPr>
        <w:ind w:left="-694"/>
        <w:rPr>
          <w:rtl/>
        </w:rPr>
      </w:pPr>
    </w:p>
    <w:tbl>
      <w:tblPr>
        <w:bidiVisual/>
        <w:tblW w:w="7700" w:type="dxa"/>
        <w:tblInd w:w="93" w:type="dxa"/>
        <w:tblLook w:val="04A0" w:firstRow="1" w:lastRow="0" w:firstColumn="1" w:lastColumn="0" w:noHBand="0" w:noVBand="1"/>
      </w:tblPr>
      <w:tblGrid>
        <w:gridCol w:w="4454"/>
        <w:gridCol w:w="3246"/>
      </w:tblGrid>
      <w:tr w:rsidR="00F12553" w:rsidRPr="00F12553" w:rsidTr="00F12553">
        <w:trPr>
          <w:trHeight w:val="300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الملخص التنفيذي للأيرادات والمص</w:t>
            </w:r>
            <w:r w:rsidR="00DB19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روفات </w:t>
            </w:r>
          </w:p>
        </w:tc>
      </w:tr>
      <w:tr w:rsidR="00F12553" w:rsidRPr="00F12553" w:rsidTr="00F12553">
        <w:trPr>
          <w:trHeight w:val="30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لسنة 2015</w:t>
            </w:r>
          </w:p>
        </w:tc>
      </w:tr>
      <w:tr w:rsidR="00F12553" w:rsidRPr="00F12553" w:rsidTr="00F12553">
        <w:trPr>
          <w:trHeight w:val="30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6,416,440 </w:t>
            </w:r>
          </w:p>
        </w:tc>
      </w:tr>
      <w:tr w:rsidR="00F12553" w:rsidRPr="00F12553" w:rsidTr="00F12553">
        <w:trPr>
          <w:trHeight w:val="30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2,757,563 </w:t>
            </w:r>
          </w:p>
        </w:tc>
      </w:tr>
      <w:tr w:rsidR="00F12553" w:rsidRPr="00F12553" w:rsidTr="00F12553">
        <w:trPr>
          <w:trHeight w:val="30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351,538-</w:t>
            </w:r>
          </w:p>
        </w:tc>
      </w:tr>
      <w:tr w:rsidR="00F12553" w:rsidRPr="00F12553" w:rsidTr="00F12553">
        <w:trPr>
          <w:trHeight w:val="30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2,406,025 </w:t>
            </w:r>
          </w:p>
        </w:tc>
      </w:tr>
    </w:tbl>
    <w:p w:rsidR="00A332E8" w:rsidRDefault="00A332E8"/>
    <w:p w:rsidR="00F12553" w:rsidRDefault="00F12553">
      <w:pPr>
        <w:rPr>
          <w:rtl/>
        </w:rPr>
      </w:pPr>
      <w:r>
        <w:rPr>
          <w:noProof/>
        </w:rPr>
        <w:drawing>
          <wp:inline distT="0" distB="0" distL="0" distR="0" wp14:anchorId="6939F99B" wp14:editId="7029A76B">
            <wp:extent cx="7649308" cy="3103685"/>
            <wp:effectExtent l="0" t="0" r="27940" b="209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19B9" w:rsidRDefault="00DB19B9">
      <w:pPr>
        <w:rPr>
          <w:rtl/>
        </w:rPr>
      </w:pPr>
    </w:p>
    <w:p w:rsidR="00EE6E7F" w:rsidRDefault="00EE6E7F">
      <w:pPr>
        <w:rPr>
          <w:rtl/>
        </w:rPr>
      </w:pPr>
    </w:p>
    <w:tbl>
      <w:tblPr>
        <w:bidiVisual/>
        <w:tblW w:w="10103" w:type="dxa"/>
        <w:tblInd w:w="93" w:type="dxa"/>
        <w:tblLook w:val="04A0" w:firstRow="1" w:lastRow="0" w:firstColumn="1" w:lastColumn="0" w:noHBand="0" w:noVBand="1"/>
      </w:tblPr>
      <w:tblGrid>
        <w:gridCol w:w="3993"/>
        <w:gridCol w:w="3862"/>
        <w:gridCol w:w="2248"/>
      </w:tblGrid>
      <w:tr w:rsidR="00F12553" w:rsidRPr="00F12553" w:rsidTr="00A332E8">
        <w:trPr>
          <w:trHeight w:val="315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ملخص الأيرادات حسب انواعها</w:t>
            </w:r>
          </w:p>
        </w:tc>
      </w:tr>
      <w:tr w:rsidR="00F12553" w:rsidRPr="00F12553" w:rsidTr="00A332E8">
        <w:trPr>
          <w:trHeight w:val="377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الأعـــــــــــــــداد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12553" w:rsidRPr="00F12553" w:rsidRDefault="00AC4511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الايرادات الفعلية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12553" w:rsidRPr="00F12553" w:rsidRDefault="00F12553" w:rsidP="00AC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الأهمية النسبية </w:t>
            </w:r>
          </w:p>
        </w:tc>
      </w:tr>
      <w:tr w:rsidR="00F12553" w:rsidRPr="00F12553" w:rsidTr="00A332E8">
        <w:trPr>
          <w:trHeight w:val="144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الايرادات النفطية والثروات المعدنية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3,684,273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57%</w:t>
            </w:r>
          </w:p>
        </w:tc>
      </w:tr>
      <w:tr w:rsidR="00F12553" w:rsidRPr="00F12553" w:rsidTr="00A332E8">
        <w:trPr>
          <w:trHeight w:val="144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التحويلية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2,532,917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39%</w:t>
            </w:r>
          </w:p>
        </w:tc>
      </w:tr>
      <w:tr w:rsidR="00F12553" w:rsidRPr="00F12553" w:rsidTr="00A332E8">
        <w:trPr>
          <w:trHeight w:val="144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الرسوم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56,684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F12553" w:rsidRPr="00F12553" w:rsidTr="00A332E8">
        <w:trPr>
          <w:trHeight w:val="144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ايرادات اخرى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55,586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F12553" w:rsidRPr="00F12553" w:rsidTr="00A332E8">
        <w:trPr>
          <w:trHeight w:val="144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الضرائب السلعية ورسوم الانتاج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46,416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F12553" w:rsidRPr="00F12553" w:rsidTr="00A332E8">
        <w:trPr>
          <w:trHeight w:val="144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الضرائب على الدخول والثروات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22,669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F12553" w:rsidRPr="00F12553" w:rsidTr="00A332E8">
        <w:trPr>
          <w:trHeight w:val="144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حصة الموازنة من ارباح القطاع العام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15,603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F12553" w:rsidRPr="00F12553" w:rsidTr="00A332E8">
        <w:trPr>
          <w:trHeight w:val="144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الرأسمالية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2,293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F12553" w:rsidRPr="00F12553" w:rsidTr="00A332E8">
        <w:trPr>
          <w:trHeight w:val="144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 العام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6,416,440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</w:tr>
    </w:tbl>
    <w:p w:rsidR="00F12553" w:rsidRDefault="00F12553">
      <w:pPr>
        <w:rPr>
          <w:rtl/>
        </w:rPr>
      </w:pPr>
    </w:p>
    <w:p w:rsidR="00F12553" w:rsidRDefault="00F12553">
      <w:pPr>
        <w:rPr>
          <w:rtl/>
        </w:rPr>
      </w:pPr>
      <w:r>
        <w:rPr>
          <w:noProof/>
        </w:rPr>
        <w:drawing>
          <wp:inline distT="0" distB="0" distL="0" distR="0" wp14:anchorId="0908943C" wp14:editId="292B65B0">
            <wp:extent cx="7403124" cy="2708031"/>
            <wp:effectExtent l="0" t="0" r="26670" b="165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bidiVisual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400"/>
        <w:gridCol w:w="2303"/>
        <w:gridCol w:w="2070"/>
        <w:gridCol w:w="1800"/>
        <w:gridCol w:w="2070"/>
      </w:tblGrid>
      <w:tr w:rsidR="00F12553" w:rsidRPr="00F12553" w:rsidTr="005315FB">
        <w:trPr>
          <w:trHeight w:val="315"/>
        </w:trPr>
        <w:tc>
          <w:tcPr>
            <w:tcW w:w="10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جدول يوضح نسبة الأنفاق الفعلي والأهمية النسبية</w:t>
            </w:r>
            <w:r w:rsidR="00DB19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حسب التصنيف الأقتصادي </w:t>
            </w:r>
          </w:p>
        </w:tc>
      </w:tr>
      <w:tr w:rsidR="00F12553" w:rsidRPr="00F12553" w:rsidTr="005315FB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B19B9" w:rsidRPr="00DB19B9" w:rsidRDefault="00DB19B9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12553" w:rsidRPr="00F12553" w:rsidRDefault="00DB19B9" w:rsidP="00D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19B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المصد</w:t>
            </w:r>
            <w:r w:rsidRPr="00DB19B9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ق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12553" w:rsidRPr="00F12553" w:rsidRDefault="00F12553" w:rsidP="00D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12553" w:rsidRPr="00F12553" w:rsidRDefault="00F12553" w:rsidP="00D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الأنفاق الفعلي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12553" w:rsidRPr="00F12553" w:rsidRDefault="00F12553" w:rsidP="00D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</w:t>
            </w:r>
          </w:p>
        </w:tc>
      </w:tr>
      <w:tr w:rsidR="00DB19B9" w:rsidRPr="00F12553" w:rsidTr="005315FB">
        <w:trPr>
          <w:trHeight w:val="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تعويضات الموظفين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2,068,790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75%</w:t>
            </w:r>
          </w:p>
        </w:tc>
      </w:tr>
      <w:tr w:rsidR="00DB19B9" w:rsidRPr="00F12553" w:rsidTr="005315FB">
        <w:trPr>
          <w:trHeight w:val="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الرعاية الاجتماعية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385,397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</w:tr>
      <w:tr w:rsidR="00DB19B9" w:rsidRPr="00F12553" w:rsidTr="005315FB">
        <w:trPr>
          <w:trHeight w:val="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المنح والاعانات وخدمة الدين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257,906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</w:tr>
      <w:tr w:rsidR="00DB19B9" w:rsidRPr="00F12553" w:rsidTr="005315FB">
        <w:trPr>
          <w:trHeight w:val="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السلعية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26,613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B19B9" w:rsidRPr="00F12553" w:rsidTr="005315FB">
        <w:trPr>
          <w:trHeight w:val="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الخدمية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11,807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0.4%</w:t>
            </w:r>
          </w:p>
        </w:tc>
      </w:tr>
      <w:tr w:rsidR="00DB19B9" w:rsidRPr="00F12553" w:rsidTr="005315FB">
        <w:trPr>
          <w:trHeight w:val="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صيانة الموجودات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4,822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</w:tr>
      <w:tr w:rsidR="00DB19B9" w:rsidRPr="00F12553" w:rsidTr="005315FB">
        <w:trPr>
          <w:trHeight w:val="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النفقات الرأسمالية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2,227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0.4%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DB19B9" w:rsidRPr="00F12553" w:rsidTr="005315FB">
        <w:trPr>
          <w:trHeight w:val="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الالتزامات والمساهمات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0.0%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0.0%</w:t>
            </w:r>
          </w:p>
        </w:tc>
      </w:tr>
      <w:tr w:rsidR="00DB19B9" w:rsidRPr="00F12553" w:rsidTr="005315FB">
        <w:trPr>
          <w:trHeight w:val="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البرامج الخاصة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0.0%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0.0%</w:t>
            </w:r>
          </w:p>
        </w:tc>
      </w:tr>
      <w:tr w:rsidR="00DB19B9" w:rsidRPr="00F12553" w:rsidTr="005315FB">
        <w:trPr>
          <w:trHeight w:val="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المجموع العام              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2,757,563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12553" w:rsidRPr="00F12553" w:rsidRDefault="00F12553" w:rsidP="00F125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</w:tr>
    </w:tbl>
    <w:p w:rsidR="00F12553" w:rsidRDefault="00F12553">
      <w:pPr>
        <w:rPr>
          <w:rtl/>
        </w:rPr>
      </w:pPr>
    </w:p>
    <w:p w:rsidR="00F12553" w:rsidRDefault="00F12553">
      <w:pPr>
        <w:rPr>
          <w:rtl/>
        </w:rPr>
      </w:pPr>
      <w:r>
        <w:rPr>
          <w:noProof/>
        </w:rPr>
        <w:drawing>
          <wp:inline distT="0" distB="0" distL="0" distR="0" wp14:anchorId="00E8EB01" wp14:editId="028C4595">
            <wp:extent cx="6831624" cy="2198077"/>
            <wp:effectExtent l="0" t="0" r="26670" b="1206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2553" w:rsidRDefault="00F12553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5A560BCB" wp14:editId="320F4598">
            <wp:extent cx="7904285" cy="3446585"/>
            <wp:effectExtent l="0" t="0" r="20955" b="209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2553" w:rsidRDefault="00F12553">
      <w:pPr>
        <w:rPr>
          <w:rtl/>
        </w:rPr>
      </w:pPr>
    </w:p>
    <w:p w:rsidR="00F12553" w:rsidRDefault="00F12553">
      <w:pPr>
        <w:rPr>
          <w:rtl/>
        </w:rPr>
      </w:pPr>
    </w:p>
    <w:p w:rsidR="00F12553" w:rsidRDefault="00F12553">
      <w:pPr>
        <w:rPr>
          <w:rtl/>
        </w:rPr>
      </w:pPr>
    </w:p>
    <w:p w:rsidR="00F12553" w:rsidRDefault="00F12553">
      <w:pPr>
        <w:rPr>
          <w:rtl/>
        </w:rPr>
      </w:pPr>
    </w:p>
    <w:p w:rsidR="00F12553" w:rsidRDefault="00F12553">
      <w:pPr>
        <w:rPr>
          <w:rtl/>
        </w:rPr>
      </w:pPr>
    </w:p>
    <w:tbl>
      <w:tblPr>
        <w:bidiVisual/>
        <w:tblW w:w="131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37"/>
        <w:gridCol w:w="1728"/>
        <w:gridCol w:w="1728"/>
        <w:gridCol w:w="1728"/>
        <w:gridCol w:w="1728"/>
        <w:gridCol w:w="1728"/>
        <w:gridCol w:w="1696"/>
        <w:gridCol w:w="32"/>
      </w:tblGrid>
      <w:tr w:rsidR="00F12553" w:rsidRPr="00F12553" w:rsidTr="005315FB">
        <w:trPr>
          <w:gridAfter w:val="1"/>
          <w:wAfter w:w="32" w:type="dxa"/>
          <w:trHeight w:val="440"/>
        </w:trPr>
        <w:tc>
          <w:tcPr>
            <w:tcW w:w="13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ملخص تنفيذ الموازنه حسب التصنيف الأدار</w:t>
            </w:r>
            <w:r w:rsidR="005315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ي مع السلف والألتزامات </w:t>
            </w:r>
            <w:r w:rsidR="005315FB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(الجزء الأول)</w:t>
            </w:r>
          </w:p>
        </w:tc>
      </w:tr>
      <w:tr w:rsidR="005315FB" w:rsidRPr="00F12553" w:rsidTr="005315FB">
        <w:trPr>
          <w:trHeight w:val="629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الوزارات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DB19B9" w:rsidP="00D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F12553" w:rsidP="00D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F12553" w:rsidP="00D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F12553" w:rsidP="00D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AC4511" w:rsidP="00D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لانفاق الفعلي</w:t>
            </w:r>
            <w:r w:rsidR="00F12553"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F12553" w:rsidP="00D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للانفاق</w:t>
            </w:r>
            <w:r w:rsidR="00AC4511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الاجمالي</w:t>
            </w: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وزارةالدفاع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5,057,537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420,194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8,602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428,796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التربية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7,272,791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578,232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2,398-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575,834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العلوم والتكنولوجيا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144,455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9,900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617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10,517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العدل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452,113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32,542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175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32,717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التخطيط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43,039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2,955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148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3,103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حقوق الانسان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16,915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1,088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1,160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الزراعة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808,788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19,427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32,424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51,851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التعليم العالي والبحث العلمي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2,589,664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136,539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29,128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165,667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الصناعة والمعادن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46,928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2,824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148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2,972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الثقافة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96,982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5,039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1,088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6,126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الموارد المائية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232,308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14,387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210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14,597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مجلس القضاء الاعلى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390,074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22,775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1,357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24,132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البيئة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59,698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3,216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475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3,691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النواب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643,230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34,905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369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35,274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الشباب والرياضة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95,816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4,074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1,141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5,214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5315FB" w:rsidRPr="00F12553" w:rsidTr="005315FB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F12553" w:rsidRPr="00F12553" w:rsidRDefault="00F12553" w:rsidP="00F1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رئاسة الجمهورية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84,100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3,953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361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4,314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:rsidR="00F12553" w:rsidRPr="00F12553" w:rsidRDefault="00F12553" w:rsidP="005315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</w:tbl>
    <w:p w:rsidR="00F12553" w:rsidRDefault="00F12553">
      <w:pPr>
        <w:rPr>
          <w:rtl/>
        </w:rPr>
      </w:pPr>
    </w:p>
    <w:p w:rsidR="00F12553" w:rsidRDefault="00F12553">
      <w:pPr>
        <w:rPr>
          <w:rtl/>
        </w:rPr>
      </w:pPr>
    </w:p>
    <w:p w:rsidR="00F12553" w:rsidRDefault="00422227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660558F8" wp14:editId="599F6DEA">
            <wp:extent cx="8326316" cy="4747846"/>
            <wp:effectExtent l="0" t="0" r="17780" b="152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2553" w:rsidRDefault="00F12553">
      <w:pPr>
        <w:rPr>
          <w:rtl/>
        </w:rPr>
      </w:pPr>
    </w:p>
    <w:tbl>
      <w:tblPr>
        <w:bidiVisual/>
        <w:tblW w:w="13073" w:type="dxa"/>
        <w:tblInd w:w="93" w:type="dxa"/>
        <w:tblLook w:val="04A0" w:firstRow="1" w:lastRow="0" w:firstColumn="1" w:lastColumn="0" w:noHBand="0" w:noVBand="1"/>
      </w:tblPr>
      <w:tblGrid>
        <w:gridCol w:w="2723"/>
        <w:gridCol w:w="1710"/>
        <w:gridCol w:w="1710"/>
        <w:gridCol w:w="1800"/>
        <w:gridCol w:w="1710"/>
        <w:gridCol w:w="1710"/>
        <w:gridCol w:w="1710"/>
      </w:tblGrid>
      <w:tr w:rsidR="00F12553" w:rsidRPr="00F12553" w:rsidTr="005315FB">
        <w:trPr>
          <w:trHeight w:val="315"/>
        </w:trPr>
        <w:tc>
          <w:tcPr>
            <w:tcW w:w="13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5315FB" w:rsidRPr="005315FB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(الجزء الثاني)</w:t>
            </w:r>
          </w:p>
        </w:tc>
      </w:tr>
      <w:tr w:rsidR="005315FB" w:rsidRPr="00F12553" w:rsidTr="005315FB">
        <w:trPr>
          <w:trHeight w:val="900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F12553" w:rsidRPr="00F12553" w:rsidRDefault="00F12553" w:rsidP="0083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الوزارات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F12553" w:rsidP="0083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المصدق لسنة 2015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F12553" w:rsidP="0083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الفعلي 2015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F12553" w:rsidP="0083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السلف والألتزامات 2015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F12553" w:rsidP="0083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 (فعلي+ سلف ) 2015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AC4511" w:rsidP="00AC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انفاق الفعلي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12553" w:rsidRPr="00F12553" w:rsidRDefault="00AC4511" w:rsidP="0083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للانفاق 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اجمالي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دوائر غير مرتبطة بوزارة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763,009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30,935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3,575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34,509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الداخلية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11,052,559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485,461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5,555-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479,906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الوزراء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3,722,400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90,223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62,881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153,104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الاتصالات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15,941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644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648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السياحة والاثار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85,283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3,352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3,414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الصحة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5,077,292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194,974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2,692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197,665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الاعمار والاسكان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219,322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8,154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8,207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النقل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132,116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3,762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309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4,071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الخارجية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415,734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2,618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5,330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7,948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البلديات والاشغال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741,769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11,441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11,477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وزارةالعمل والشوؤن الاجتماعية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1,547,621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9,798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485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10,282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المهجرين والمهاجرين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2,584,784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16,047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16,067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المالية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17,335,830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603,601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498,475-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105,126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النفط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999,593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1,837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492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2,328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الكهرباء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1,910,117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144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2,063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2,207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التجارة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4,314,024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2,522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2,563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5315FB" w:rsidRPr="00F12553" w:rsidTr="005315FB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حكومة اقليم كردستان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9,296,560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12553" w:rsidRPr="00F12553" w:rsidRDefault="00F12553" w:rsidP="0053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2553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</w:tbl>
    <w:p w:rsidR="00F12553" w:rsidRDefault="00F12553">
      <w:pPr>
        <w:rPr>
          <w:rtl/>
        </w:rPr>
      </w:pPr>
    </w:p>
    <w:p w:rsidR="00F12553" w:rsidRDefault="00F12553">
      <w:pPr>
        <w:rPr>
          <w:rtl/>
          <w:lang w:bidi="ar-IQ"/>
        </w:rPr>
      </w:pPr>
    </w:p>
    <w:p w:rsidR="00F12553" w:rsidRDefault="00F12553">
      <w:pPr>
        <w:rPr>
          <w:rtl/>
          <w:lang w:bidi="ar-IQ"/>
        </w:rPr>
      </w:pPr>
    </w:p>
    <w:p w:rsidR="00F12553" w:rsidRDefault="00422227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4A5B9D36" wp14:editId="38480E53">
            <wp:extent cx="8229600" cy="3877408"/>
            <wp:effectExtent l="0" t="0" r="19050" b="2794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2553" w:rsidRDefault="00F12553"/>
    <w:sectPr w:rsidR="00F12553" w:rsidSect="00DB19B9">
      <w:footerReference w:type="default" r:id="rId14"/>
      <w:pgSz w:w="16838" w:h="11906" w:orient="landscape" w:code="9"/>
      <w:pgMar w:top="1440" w:right="2160" w:bottom="2160" w:left="2160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44" w:rsidRDefault="00E01844" w:rsidP="00A332E8">
      <w:pPr>
        <w:spacing w:after="0" w:line="240" w:lineRule="auto"/>
      </w:pPr>
      <w:r>
        <w:separator/>
      </w:r>
    </w:p>
  </w:endnote>
  <w:endnote w:type="continuationSeparator" w:id="0">
    <w:p w:rsidR="00E01844" w:rsidRDefault="00E01844" w:rsidP="00A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8088181"/>
      <w:docPartObj>
        <w:docPartGallery w:val="Page Numbers (Bottom of Page)"/>
        <w:docPartUnique/>
      </w:docPartObj>
    </w:sdtPr>
    <w:sdtEndPr/>
    <w:sdtContent>
      <w:p w:rsidR="005315FB" w:rsidRDefault="00531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CCC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5315FB" w:rsidRDefault="00531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44" w:rsidRDefault="00E01844" w:rsidP="00A332E8">
      <w:pPr>
        <w:spacing w:after="0" w:line="240" w:lineRule="auto"/>
      </w:pPr>
      <w:r>
        <w:separator/>
      </w:r>
    </w:p>
  </w:footnote>
  <w:footnote w:type="continuationSeparator" w:id="0">
    <w:p w:rsidR="00E01844" w:rsidRDefault="00E01844" w:rsidP="00A3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2476AF"/>
    <w:rsid w:val="00422227"/>
    <w:rsid w:val="004D476F"/>
    <w:rsid w:val="005315FB"/>
    <w:rsid w:val="00586D89"/>
    <w:rsid w:val="00643CCC"/>
    <w:rsid w:val="0090285D"/>
    <w:rsid w:val="00963C55"/>
    <w:rsid w:val="009E571C"/>
    <w:rsid w:val="00A332E8"/>
    <w:rsid w:val="00AA4E4A"/>
    <w:rsid w:val="00AC4511"/>
    <w:rsid w:val="00B444BB"/>
    <w:rsid w:val="00B77FCB"/>
    <w:rsid w:val="00BE26EA"/>
    <w:rsid w:val="00CB518E"/>
    <w:rsid w:val="00DB19B9"/>
    <w:rsid w:val="00E01844"/>
    <w:rsid w:val="00EE6E7F"/>
    <w:rsid w:val="00F12553"/>
    <w:rsid w:val="00F24A81"/>
    <w:rsid w:val="00F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4\&#1578;&#1602;&#1585;&#1610;&#1585;%20&#1578;&#1606;&#1601;&#1610;&#1584;%20&#1575;&#1604;&#1605;&#1608;&#1575;&#1586;&#1606;&#1577;%20&#1604;&#1594;&#1575;&#1610;&#1577;%20&#1603;&#1575;&#1606;&#1608;&#1606;%20&#1575;&#1604;&#1575;&#1608;&#1604;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4\&#1578;&#1602;&#1585;&#1610;&#1585;%20&#1578;&#1606;&#1601;&#1610;&#1584;%20&#1575;&#1604;&#1605;&#1608;&#1575;&#1586;&#1606;&#1577;%20&#1604;&#1594;&#1575;&#1610;&#1577;%20&#1603;&#1575;&#1606;&#1608;&#1606;%20&#1575;&#1604;&#1575;&#1608;&#1604;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4\&#1578;&#1602;&#1585;&#1610;&#1585;%20&#1578;&#1606;&#1601;&#1610;&#1584;%20&#1575;&#1604;&#1605;&#1608;&#1575;&#1586;&#1606;&#1577;%20&#1604;&#1594;&#1575;&#1610;&#1577;%20&#1603;&#1575;&#1606;&#1608;&#1606;%20&#1575;&#1604;&#1575;&#1608;&#1604;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4\&#1578;&#1602;&#1585;&#1610;&#1585;%20&#1578;&#1606;&#1601;&#1610;&#1584;%20&#1575;&#1604;&#1605;&#1608;&#1575;&#1586;&#1606;&#1577;%20&#1604;&#1594;&#1575;&#1610;&#1577;%20&#1603;&#1575;&#1606;&#1608;&#1606;%20&#1575;&#1604;&#1575;&#1608;&#1604;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4\&#1578;&#1602;&#1585;&#1610;&#1585;%20&#1578;&#1606;&#1601;&#1610;&#1584;%20&#1575;&#1604;&#1605;&#1608;&#1575;&#1586;&#1606;&#1577;%20&#1604;&#1594;&#1575;&#1610;&#1577;%20&#1603;&#1575;&#1606;&#1608;&#1606;%20&#1575;&#1604;&#1575;&#1608;&#1604;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4\&#1578;&#1602;&#1585;&#1610;&#1585;%20&#1578;&#1606;&#1601;&#1610;&#1584;%20&#1575;&#1604;&#1605;&#1608;&#1575;&#1586;&#1606;&#1577;%20&#1604;&#1594;&#1575;&#1610;&#1577;%20&#1603;&#1575;&#1606;&#1608;&#1606;%20&#1575;&#1604;&#1575;&#1608;&#1604;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4\&#1578;&#1602;&#1585;&#1610;&#1585;%20&#1578;&#1606;&#1601;&#1610;&#1584;%20&#1575;&#1604;&#1605;&#1608;&#1575;&#1586;&#1606;&#1577;%20&#1604;&#1594;&#1575;&#1610;&#1577;%20&#1603;&#1575;&#1606;&#1608;&#1606;%20&#1575;&#1604;&#1575;&#1608;&#1604;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الأنفاق العام مقارنه بالأعتمادات المصدقه </a:t>
            </a:r>
            <a:endParaRPr lang="en-US" sz="1100"/>
          </a:p>
        </c:rich>
      </c:tx>
      <c:layout>
        <c:manualLayout>
          <c:xMode val="edge"/>
          <c:yMode val="edge"/>
          <c:x val="0.52365725770602767"/>
          <c:y val="5.343641827380273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975245444412174"/>
          <c:y val="3.7648422126277961E-2"/>
          <c:w val="0.83024754555587821"/>
          <c:h val="0.8407964263876984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6.280193236714976E-2"/>
                </c:manualLayout>
              </c:layout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111111111111111"/>
                </c:manualLayout>
              </c:layout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alpha val="98000"/>
                  </a:schemeClr>
                </a:solidFill>
              </a:ln>
            </c:spPr>
            <c:txPr>
              <a:bodyPr/>
              <a:lstStyle/>
              <a:p>
                <a:pPr>
                  <a:defRPr sz="1000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عمل'!$A$28:$A$29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عمل'!$B$28:$B$29</c:f>
              <c:numCache>
                <c:formatCode>_-* #,##0_-;_-* #,##0\-;_-* "-"??_-;_-@_-</c:formatCode>
                <c:ptCount val="2"/>
                <c:pt idx="0">
                  <c:v>78248392</c:v>
                </c:pt>
                <c:pt idx="1">
                  <c:v>2406024.7531231218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317888"/>
        <c:axId val="70833216"/>
        <c:axId val="0"/>
      </c:bar3DChart>
      <c:catAx>
        <c:axId val="813178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0833216"/>
        <c:crosses val="autoZero"/>
        <c:auto val="1"/>
        <c:lblAlgn val="ctr"/>
        <c:lblOffset val="100"/>
        <c:noMultiLvlLbl val="0"/>
      </c:catAx>
      <c:valAx>
        <c:axId val="70833216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81317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1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100"/>
          </a:p>
        </c:rich>
      </c:tx>
      <c:layout>
        <c:manualLayout>
          <c:xMode val="edge"/>
          <c:yMode val="edge"/>
          <c:x val="0.6129052504482061"/>
          <c:y val="8.5734126696409729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3.6635998529016951E-2"/>
                  <c:y val="-8.993502884474423E-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عمل'!$A$4:$A$7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عمل'!$B$4:$B$7</c:f>
              <c:numCache>
                <c:formatCode>_-* #,##0_-;_-* #,##0\-;_-* "-"??_-;_-@_-</c:formatCode>
                <c:ptCount val="4"/>
                <c:pt idx="0">
                  <c:v>6416439.8139834804</c:v>
                </c:pt>
                <c:pt idx="1">
                  <c:v>2757562.7382494798</c:v>
                </c:pt>
                <c:pt idx="2">
                  <c:v>-351537.98512635787</c:v>
                </c:pt>
                <c:pt idx="3">
                  <c:v>2406024.7531231218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319424"/>
        <c:axId val="70834944"/>
        <c:axId val="0"/>
      </c:bar3DChart>
      <c:catAx>
        <c:axId val="81319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0834944"/>
        <c:crosses val="autoZero"/>
        <c:auto val="1"/>
        <c:lblAlgn val="ctr"/>
        <c:lblOffset val="100"/>
        <c:noMultiLvlLbl val="0"/>
      </c:catAx>
      <c:valAx>
        <c:axId val="7083494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81319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للأيرادات</a:t>
            </a:r>
            <a:endParaRPr lang="en-US" sz="1100"/>
          </a:p>
        </c:rich>
      </c:tx>
      <c:layout>
        <c:manualLayout>
          <c:xMode val="edge"/>
          <c:yMode val="edge"/>
          <c:x val="0.66573499594074159"/>
          <c:y val="6.5976643866983806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عمل'!$B$13</c:f>
              <c:strCache>
                <c:ptCount val="1"/>
                <c:pt idx="0">
                  <c:v>الايرادات الفعلية 2012</c:v>
                </c:pt>
              </c:strCache>
            </c:strRef>
          </c:tx>
          <c:invertIfNegative val="0"/>
          <c:dLbls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عمل'!$A$14:$A$21</c:f>
              <c:strCache>
                <c:ptCount val="8"/>
                <c:pt idx="0">
                  <c:v>الايرادات النفطية والثروات المعدنية</c:v>
                </c:pt>
                <c:pt idx="1">
                  <c:v> الايرادات التحويلية</c:v>
                </c:pt>
                <c:pt idx="2">
                  <c:v> الرسوم</c:v>
                </c:pt>
                <c:pt idx="3">
                  <c:v> ايرادات اخرى</c:v>
                </c:pt>
                <c:pt idx="4">
                  <c:v> الضرائب السلعية ورسوم الانتاج</c:v>
                </c:pt>
                <c:pt idx="5">
                  <c:v> الضرائب على الدخول والثروات</c:v>
                </c:pt>
                <c:pt idx="6">
                  <c:v> حصة الموازنة من ارباح القطاع العام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عمل'!$B$14:$B$21</c:f>
              <c:numCache>
                <c:formatCode>_-* #,##0_-;_-* #,##0\-;_-* "-"??_-;_-@_-</c:formatCode>
                <c:ptCount val="8"/>
                <c:pt idx="0">
                  <c:v>3684273.1898968597</c:v>
                </c:pt>
                <c:pt idx="1">
                  <c:v>2532917.21258331</c:v>
                </c:pt>
                <c:pt idx="2">
                  <c:v>56683.564870328999</c:v>
                </c:pt>
                <c:pt idx="3">
                  <c:v>55585.983545772004</c:v>
                </c:pt>
                <c:pt idx="4">
                  <c:v>46415.863936000002</c:v>
                </c:pt>
                <c:pt idx="5">
                  <c:v>22668.743824726003</c:v>
                </c:pt>
                <c:pt idx="6">
                  <c:v>15602.670441226999</c:v>
                </c:pt>
                <c:pt idx="7">
                  <c:v>2292.5848852630002</c:v>
                </c:pt>
              </c:numCache>
            </c:numRef>
          </c:val>
        </c:ser>
        <c:ser>
          <c:idx val="1"/>
          <c:order val="1"/>
          <c:tx>
            <c:strRef>
              <c:f>'ورقه عمل'!$C$13</c:f>
              <c:strCache>
                <c:ptCount val="1"/>
                <c:pt idx="0">
                  <c:v>نسبة الأهمية النسبية 2012</c:v>
                </c:pt>
              </c:strCache>
            </c:strRef>
          </c:tx>
          <c:invertIfNegative val="0"/>
          <c:cat>
            <c:strRef>
              <c:f>'ورقه عمل'!$A$14:$A$21</c:f>
              <c:strCache>
                <c:ptCount val="8"/>
                <c:pt idx="0">
                  <c:v>الايرادات النفطية والثروات المعدنية</c:v>
                </c:pt>
                <c:pt idx="1">
                  <c:v> الايرادات التحويلية</c:v>
                </c:pt>
                <c:pt idx="2">
                  <c:v> الرسوم</c:v>
                </c:pt>
                <c:pt idx="3">
                  <c:v> ايرادات اخرى</c:v>
                </c:pt>
                <c:pt idx="4">
                  <c:v> الضرائب السلعية ورسوم الانتاج</c:v>
                </c:pt>
                <c:pt idx="5">
                  <c:v> الضرائب على الدخول والثروات</c:v>
                </c:pt>
                <c:pt idx="6">
                  <c:v> حصة الموازنة من ارباح القطاع العام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عمل'!$C$14:$C$21</c:f>
              <c:numCache>
                <c:formatCode>0%</c:formatCode>
                <c:ptCount val="8"/>
                <c:pt idx="0">
                  <c:v>0.57419274499663298</c:v>
                </c:pt>
                <c:pt idx="1">
                  <c:v>0.39475430082945234</c:v>
                </c:pt>
                <c:pt idx="2">
                  <c:v>8.8341146357824984E-3</c:v>
                </c:pt>
                <c:pt idx="3">
                  <c:v>8.6630569532706158E-3</c:v>
                </c:pt>
                <c:pt idx="4">
                  <c:v>7.2338968776493387E-3</c:v>
                </c:pt>
                <c:pt idx="5">
                  <c:v>3.5329161469454663E-3</c:v>
                </c:pt>
                <c:pt idx="6">
                  <c:v>2.4316709723083158E-3</c:v>
                </c:pt>
                <c:pt idx="7">
                  <c:v>3.5729858795943546E-4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276928"/>
        <c:axId val="72696384"/>
        <c:axId val="0"/>
      </c:bar3DChart>
      <c:catAx>
        <c:axId val="812769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2696384"/>
        <c:crosses val="autoZero"/>
        <c:auto val="1"/>
        <c:lblAlgn val="ctr"/>
        <c:lblOffset val="100"/>
        <c:noMultiLvlLbl val="0"/>
      </c:catAx>
      <c:valAx>
        <c:axId val="7269638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81276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للنفقات حسب التصنيف الاقتصادي</a:t>
            </a:r>
            <a:r>
              <a:rPr lang="ar-IQ" sz="11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100"/>
          </a:p>
        </c:rich>
      </c:tx>
      <c:layout>
        <c:manualLayout>
          <c:xMode val="edge"/>
          <c:yMode val="edge"/>
          <c:x val="0.44243229356508906"/>
          <c:y val="0.10747565106803139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عمل'!$E$37</c:f>
              <c:strCache>
                <c:ptCount val="1"/>
                <c:pt idx="0">
                  <c:v>الأهمية النسبية 2015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عمل'!$E$38:$E$46</c:f>
              <c:numCache>
                <c:formatCode>0%</c:formatCode>
                <c:ptCount val="9"/>
                <c:pt idx="0">
                  <c:v>0.75022422991594839</c:v>
                </c:pt>
                <c:pt idx="1">
                  <c:v>0.13975996475547955</c:v>
                </c:pt>
                <c:pt idx="2">
                  <c:v>9.3526741857546808E-2</c:v>
                </c:pt>
                <c:pt idx="3">
                  <c:v>9.6510727846193627E-3</c:v>
                </c:pt>
                <c:pt idx="4" formatCode="0.0%">
                  <c:v>4.2816154336448769E-3</c:v>
                </c:pt>
                <c:pt idx="5" formatCode="0.0%">
                  <c:v>1.7485968587829677E-3</c:v>
                </c:pt>
                <c:pt idx="6" formatCode="0.0%">
                  <c:v>8.0777839397918195E-4</c:v>
                </c:pt>
                <c:pt idx="7" formatCode="0.0%">
                  <c:v>0</c:v>
                </c:pt>
                <c:pt idx="8" formatCode="0.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319936"/>
        <c:axId val="72698112"/>
        <c:axId val="0"/>
      </c:bar3DChart>
      <c:catAx>
        <c:axId val="81319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2698112"/>
        <c:crosses val="autoZero"/>
        <c:auto val="1"/>
        <c:lblAlgn val="ctr"/>
        <c:lblOffset val="100"/>
        <c:noMultiLvlLbl val="0"/>
      </c:catAx>
      <c:valAx>
        <c:axId val="72698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81319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الانفاق حسب التصنيف الاقتصادي</a:t>
            </a:r>
            <a:r>
              <a:rPr lang="ar-IQ" sz="11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100"/>
          </a:p>
        </c:rich>
      </c:tx>
      <c:layout>
        <c:manualLayout>
          <c:xMode val="edge"/>
          <c:yMode val="edge"/>
          <c:x val="0.63902467722987988"/>
          <c:y val="7.2895946049861521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عمل'!$D$37</c:f>
              <c:strCache>
                <c:ptCount val="1"/>
                <c:pt idx="0">
                  <c:v>نسبة الأنفاق الفعلي 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5.3664243145913046E-2</c:v>
                </c:pt>
                <c:pt idx="1">
                  <c:v>1.9638856690714235E-2</c:v>
                </c:pt>
                <c:pt idx="2">
                  <c:v>2.0894714047163053E-2</c:v>
                </c:pt>
                <c:pt idx="3">
                  <c:v>5.602811505858403E-3</c:v>
                </c:pt>
                <c:pt idx="4">
                  <c:v>1.2253385562783065E-2</c:v>
                </c:pt>
                <c:pt idx="5">
                  <c:v>6.661709907739238E-3</c:v>
                </c:pt>
                <c:pt idx="6" formatCode="0.0%">
                  <c:v>4.4597711551359956E-3</c:v>
                </c:pt>
                <c:pt idx="7" formatCode="0.0%">
                  <c:v>0</c:v>
                </c:pt>
                <c:pt idx="8" formatCode="0.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320448"/>
        <c:axId val="72699840"/>
        <c:axId val="0"/>
      </c:bar3DChart>
      <c:catAx>
        <c:axId val="81320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2699840"/>
        <c:crosses val="autoZero"/>
        <c:auto val="1"/>
        <c:lblAlgn val="ctr"/>
        <c:lblOffset val="100"/>
        <c:noMultiLvlLbl val="0"/>
      </c:catAx>
      <c:valAx>
        <c:axId val="72699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81320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 (الجزء الأول)</a:t>
            </a:r>
            <a:endParaRPr lang="ar-IQ" sz="1200"/>
          </a:p>
        </c:rich>
      </c:tx>
      <c:layout>
        <c:manualLayout>
          <c:xMode val="edge"/>
          <c:yMode val="edge"/>
          <c:x val="0.57786673001601185"/>
          <c:y val="5.356689964316258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2015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عمل'!$A$53:$A$68</c:f>
              <c:strCache>
                <c:ptCount val="16"/>
                <c:pt idx="0">
                  <c:v> وزارةالدفاع</c:v>
                </c:pt>
                <c:pt idx="1">
                  <c:v> وزارة التربية</c:v>
                </c:pt>
                <c:pt idx="2">
                  <c:v> وزارة العلوم والتكنولوجيا</c:v>
                </c:pt>
                <c:pt idx="3">
                  <c:v> وزارة العدل</c:v>
                </c:pt>
                <c:pt idx="4">
                  <c:v> وزارة التخطيط</c:v>
                </c:pt>
                <c:pt idx="5">
                  <c:v> وزارة حقوق الانسان</c:v>
                </c:pt>
                <c:pt idx="6">
                  <c:v> وزارة الزراعة</c:v>
                </c:pt>
                <c:pt idx="7">
                  <c:v> وزارة التعليم العالي والبحث العلمي</c:v>
                </c:pt>
                <c:pt idx="8">
                  <c:v> وزارة الصناعة والمعادن</c:v>
                </c:pt>
                <c:pt idx="9">
                  <c:v> وزارة الثقافة</c:v>
                </c:pt>
                <c:pt idx="10">
                  <c:v> وزارة الموارد المائية</c:v>
                </c:pt>
                <c:pt idx="11">
                  <c:v> مجلس القضاء الاعلى</c:v>
                </c:pt>
                <c:pt idx="12">
                  <c:v> وزارة البيئة</c:v>
                </c:pt>
                <c:pt idx="13">
                  <c:v>مجلس النواب</c:v>
                </c:pt>
                <c:pt idx="14">
                  <c:v> وزارة الشباب والرياضة</c:v>
                </c:pt>
                <c:pt idx="15">
                  <c:v> رئاسة الجمهورية</c:v>
                </c:pt>
              </c:strCache>
            </c:strRef>
          </c:cat>
          <c:val>
            <c:numRef>
              <c:f>'ورقه عمل'!$G$53:$G$68</c:f>
              <c:numCache>
                <c:formatCode>0%</c:formatCode>
                <c:ptCount val="16"/>
                <c:pt idx="0">
                  <c:v>8.4783559677566372E-2</c:v>
                </c:pt>
                <c:pt idx="1">
                  <c:v>7.9176475698531701E-2</c:v>
                </c:pt>
                <c:pt idx="2">
                  <c:v>7.2808028514070131E-2</c:v>
                </c:pt>
                <c:pt idx="3">
                  <c:v>7.2365292920132801E-2</c:v>
                </c:pt>
                <c:pt idx="4">
                  <c:v>7.2091647355863278E-2</c:v>
                </c:pt>
                <c:pt idx="5">
                  <c:v>6.8584612947088383E-2</c:v>
                </c:pt>
                <c:pt idx="6">
                  <c:v>6.4109411634445612E-2</c:v>
                </c:pt>
                <c:pt idx="7">
                  <c:v>6.3972515968616001E-2</c:v>
                </c:pt>
                <c:pt idx="8">
                  <c:v>6.3333955548926013E-2</c:v>
                </c:pt>
                <c:pt idx="9">
                  <c:v>6.3169279526097633E-2</c:v>
                </c:pt>
                <c:pt idx="10">
                  <c:v>6.2835420954078208E-2</c:v>
                </c:pt>
                <c:pt idx="11">
                  <c:v>6.1864691358562728E-2</c:v>
                </c:pt>
                <c:pt idx="12">
                  <c:v>6.1829371134711382E-2</c:v>
                </c:pt>
                <c:pt idx="13">
                  <c:v>5.4839474396405651E-2</c:v>
                </c:pt>
                <c:pt idx="14">
                  <c:v>5.4417572628788512E-2</c:v>
                </c:pt>
                <c:pt idx="15">
                  <c:v>5.1296726147443523E-2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320960"/>
        <c:axId val="72701568"/>
        <c:axId val="0"/>
      </c:bar3DChart>
      <c:catAx>
        <c:axId val="81320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2701568"/>
        <c:crosses val="autoZero"/>
        <c:auto val="1"/>
        <c:lblAlgn val="ctr"/>
        <c:lblOffset val="100"/>
        <c:noMultiLvlLbl val="0"/>
      </c:catAx>
      <c:valAx>
        <c:axId val="72701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81320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56563198697385053"/>
          <c:y val="6.2184607369542289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2015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عمل'!$A$69:$A$85</c:f>
              <c:strCache>
                <c:ptCount val="17"/>
                <c:pt idx="0">
                  <c:v> دوائر غير مرتبطة بوزارة</c:v>
                </c:pt>
                <c:pt idx="1">
                  <c:v> وزارة الداخلية</c:v>
                </c:pt>
                <c:pt idx="2">
                  <c:v> مجلس الوزراء</c:v>
                </c:pt>
                <c:pt idx="3">
                  <c:v> وزارة الاتصالات</c:v>
                </c:pt>
                <c:pt idx="4">
                  <c:v>وزارة السياحة والاثار</c:v>
                </c:pt>
                <c:pt idx="5">
                  <c:v> وزارة الصحة</c:v>
                </c:pt>
                <c:pt idx="6">
                  <c:v> وزارة الاعمار والاسكان</c:v>
                </c:pt>
                <c:pt idx="7">
                  <c:v> وزارة النقل</c:v>
                </c:pt>
                <c:pt idx="8">
                  <c:v> وزارة الخارجية</c:v>
                </c:pt>
                <c:pt idx="9">
                  <c:v> وزارة البلديات والاشغال</c:v>
                </c:pt>
                <c:pt idx="10">
                  <c:v> وزارةالعمل والشوؤن الاجتماعية</c:v>
                </c:pt>
                <c:pt idx="11">
                  <c:v> وزارة المهجرين والمهاجرين</c:v>
                </c:pt>
                <c:pt idx="12">
                  <c:v> وزارة المالية</c:v>
                </c:pt>
                <c:pt idx="13">
                  <c:v> وزارة النفط</c:v>
                </c:pt>
                <c:pt idx="14">
                  <c:v> وزارة الكهرباء</c:v>
                </c:pt>
                <c:pt idx="15">
                  <c:v> وزارة التجارة</c:v>
                </c:pt>
                <c:pt idx="16">
                  <c:v> حكومة اقليم كردستان</c:v>
                </c:pt>
              </c:strCache>
            </c:strRef>
          </c:cat>
          <c:val>
            <c:numRef>
              <c:f>'ورقه عمل'!$G$69:$G$85</c:f>
              <c:numCache>
                <c:formatCode>0%</c:formatCode>
                <c:ptCount val="17"/>
                <c:pt idx="0">
                  <c:v>4.5227841682077143E-2</c:v>
                </c:pt>
                <c:pt idx="1">
                  <c:v>4.3420313870389651E-2</c:v>
                </c:pt>
                <c:pt idx="2">
                  <c:v>4.1130516746588221E-2</c:v>
                </c:pt>
                <c:pt idx="3">
                  <c:v>4.0658305250611634E-2</c:v>
                </c:pt>
                <c:pt idx="4">
                  <c:v>4.0030539239942306E-2</c:v>
                </c:pt>
                <c:pt idx="5">
                  <c:v>3.8931255622442047E-2</c:v>
                </c:pt>
                <c:pt idx="6">
                  <c:v>3.741869890389473E-2</c:v>
                </c:pt>
                <c:pt idx="7">
                  <c:v>3.0817553721941324E-2</c:v>
                </c:pt>
                <c:pt idx="8">
                  <c:v>1.9118636886615002E-2</c:v>
                </c:pt>
                <c:pt idx="9">
                  <c:v>1.547311786418683E-2</c:v>
                </c:pt>
                <c:pt idx="10">
                  <c:v>6.6439404169367049E-3</c:v>
                </c:pt>
                <c:pt idx="11">
                  <c:v>6.216127380082823E-3</c:v>
                </c:pt>
                <c:pt idx="12">
                  <c:v>6.0640907298875257E-3</c:v>
                </c:pt>
                <c:pt idx="13">
                  <c:v>2.3291135662324566E-3</c:v>
                </c:pt>
                <c:pt idx="14">
                  <c:v>1.1552867980076612E-3</c:v>
                </c:pt>
                <c:pt idx="15">
                  <c:v>5.940143822410354E-4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321472"/>
        <c:axId val="72703296"/>
        <c:axId val="0"/>
      </c:bar3DChart>
      <c:catAx>
        <c:axId val="81321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2703296"/>
        <c:crosses val="autoZero"/>
        <c:auto val="1"/>
        <c:lblAlgn val="ctr"/>
        <c:lblOffset val="100"/>
        <c:noMultiLvlLbl val="0"/>
      </c:catAx>
      <c:valAx>
        <c:axId val="72703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81321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VMCDCHTSR4DK-1850682920-137</_dlc_DocId>
    <_dlc_DocIdUrl xmlns="536e90f3-28f6-43a2-9886-69104c66b47c">
      <Url>http://cms-mof/_layouts/DocIdRedir.aspx?ID=VMCDCHTSR4DK-1850682920-137</Url>
      <Description>VMCDCHTSR4DK-1850682920-137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54566-EB8F-4AB3-97E5-099820A4A8AA}"/>
</file>

<file path=customXml/itemProps2.xml><?xml version="1.0" encoding="utf-8"?>
<ds:datastoreItem xmlns:ds="http://schemas.openxmlformats.org/officeDocument/2006/customXml" ds:itemID="{BAF9675B-4EB8-4CBD-B7B0-6821BC9F800D}"/>
</file>

<file path=customXml/itemProps3.xml><?xml version="1.0" encoding="utf-8"?>
<ds:datastoreItem xmlns:ds="http://schemas.openxmlformats.org/officeDocument/2006/customXml" ds:itemID="{07053546-4C50-4D2E-B8A2-649E8E6034D0}"/>
</file>

<file path=customXml/itemProps4.xml><?xml version="1.0" encoding="utf-8"?>
<ds:datastoreItem xmlns:ds="http://schemas.openxmlformats.org/officeDocument/2006/customXml" ds:itemID="{48D227BA-A47D-4744-AE87-F98D14D13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كانون الثاني 2015</dc:title>
  <dc:subject/>
  <dc:creator>DR.Ahmed Saker 2o1O</dc:creator>
  <cp:keywords/>
  <dc:description/>
  <cp:lastModifiedBy>DR.Ahmed Saker 2o1O</cp:lastModifiedBy>
  <cp:revision>10</cp:revision>
  <cp:lastPrinted>2015-04-26T06:46:00Z</cp:lastPrinted>
  <dcterms:created xsi:type="dcterms:W3CDTF">2015-04-22T08:31:00Z</dcterms:created>
  <dcterms:modified xsi:type="dcterms:W3CDTF">2015-05-04T06:08:00Z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0x010100970E9202C8529F4FB773F26894CE7BF4</vt:lpwstr>
  </property>
  <property fmtid="{D5CDD505-2E9C-101B-9397-08002B2CF9AE}" pid="4" name="_dlc_DocIdItemGuid">
    <vt:lpwstr>809dc4ea-9194-4464-a123-1b3b95714076</vt:lpwstr>
  </property>
</Properties>
</file>