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7.xml" ContentType="application/vnd.openxmlformats-officedocument.drawingml.chart+xml"/>
  <Override PartName="/word/charts/chart6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62" w:rsidRDefault="00A332E8" w:rsidP="005315FB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44"/>
          <w:szCs w:val="44"/>
          <w:rtl/>
        </w:rPr>
      </w:pPr>
      <w:r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تقرير تنفيذ الموازنة</w:t>
      </w:r>
      <w:r w:rsidR="00273189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                                                                                </w:t>
      </w:r>
      <w:r w:rsidR="00815E53" w:rsidRPr="00B444BB">
        <w:rPr>
          <w:rFonts w:ascii="Andalus" w:hAnsi="Andalus" w:cs="Andalus" w:hint="cs"/>
          <w:b/>
          <w:bCs/>
          <w:i/>
          <w:iCs/>
          <w:sz w:val="24"/>
          <w:szCs w:val="24"/>
          <w:rtl/>
        </w:rPr>
        <w:t>(المبالغ بالمليون)</w:t>
      </w:r>
    </w:p>
    <w:p w:rsidR="00A332E8" w:rsidRPr="00B444BB" w:rsidRDefault="00960962" w:rsidP="00E011EB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  <w:r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ا</w:t>
      </w:r>
      <w:r w:rsidR="005315FB"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لموازنة الجارية</w:t>
      </w:r>
      <w:r w:rsidR="00534B02">
        <w:rPr>
          <w:rFonts w:ascii="Andalus" w:hAnsi="Andalus" w:cs="Andalus"/>
          <w:b/>
          <w:bCs/>
          <w:i/>
          <w:iCs/>
          <w:sz w:val="44"/>
          <w:szCs w:val="44"/>
          <w:rtl/>
        </w:rPr>
        <w:t xml:space="preserve"> لغاية </w:t>
      </w:r>
      <w:r w:rsidR="00E011EB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مايس</w:t>
      </w:r>
      <w:r w:rsidR="00BB7F69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</w:t>
      </w:r>
      <w:r w:rsidR="005315FB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لسنة 2015</w:t>
      </w:r>
    </w:p>
    <w:tbl>
      <w:tblPr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3976"/>
        <w:gridCol w:w="3090"/>
      </w:tblGrid>
      <w:tr w:rsidR="00E011EB" w:rsidRPr="00381DE1" w:rsidTr="00E011EB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ملخص الانفاق العام </w:t>
            </w:r>
          </w:p>
        </w:tc>
      </w:tr>
      <w:tr w:rsidR="00E011EB" w:rsidRPr="00381DE1" w:rsidTr="00E011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التفاصيل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E011EB" w:rsidRPr="00381DE1" w:rsidTr="00381DE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الاعتمادات المصدقة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78,248,392 </w:t>
            </w:r>
          </w:p>
        </w:tc>
      </w:tr>
      <w:tr w:rsidR="00E011EB" w:rsidRPr="00381DE1" w:rsidTr="00381DE1"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الانفاق الاجمالي (المصرف الفعلي مضافأ اليه السلف)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20,511,067 </w:t>
            </w:r>
          </w:p>
        </w:tc>
      </w:tr>
    </w:tbl>
    <w:p w:rsidR="00BB7F69" w:rsidRPr="00381DE1" w:rsidRDefault="00BB7F69">
      <w:pPr>
        <w:rPr>
          <w:rtl/>
          <w:lang w:bidi="ar-IQ"/>
        </w:rPr>
      </w:pPr>
    </w:p>
    <w:p w:rsidR="00E011EB" w:rsidRDefault="00E011EB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2AE7ECDA" wp14:editId="4DE9A049">
            <wp:extent cx="6975335" cy="3034513"/>
            <wp:effectExtent l="0" t="0" r="16510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4042"/>
        <w:gridCol w:w="3090"/>
      </w:tblGrid>
      <w:tr w:rsidR="00E011EB" w:rsidRPr="00E011EB" w:rsidTr="00E011EB">
        <w:trPr>
          <w:trHeight w:val="28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011EB" w:rsidRPr="00E011EB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011E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>الملخص التنفيذي للأيرادات والمصروفات على مستوى الموازنة الجارية</w:t>
            </w:r>
          </w:p>
        </w:tc>
      </w:tr>
      <w:tr w:rsidR="00E011EB" w:rsidRPr="00E011EB" w:rsidTr="00E011EB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E011EB" w:rsidRPr="00E011EB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011E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011EB" w:rsidRPr="00E011EB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011E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E011EB" w:rsidRPr="00E011EB" w:rsidTr="00E011EB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11EB" w:rsidRPr="00E011EB" w:rsidRDefault="00E011EB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011E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الأيرادات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11EB" w:rsidRPr="00E011EB" w:rsidRDefault="00E011EB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011E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24,127,228 </w:t>
            </w:r>
          </w:p>
        </w:tc>
      </w:tr>
      <w:tr w:rsidR="00E011EB" w:rsidRPr="00E011EB" w:rsidTr="00E011EB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11EB" w:rsidRPr="00E011EB" w:rsidRDefault="00E011EB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011E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المصروفات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11EB" w:rsidRPr="00E011EB" w:rsidRDefault="00E011EB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011E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18,781,123 </w:t>
            </w:r>
          </w:p>
        </w:tc>
      </w:tr>
      <w:tr w:rsidR="00E011EB" w:rsidRPr="00E011EB" w:rsidTr="00E011EB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11EB" w:rsidRPr="00E011EB" w:rsidRDefault="00E011EB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011E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11EB" w:rsidRPr="00E011EB" w:rsidRDefault="00E011EB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011E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1,729,944 </w:t>
            </w:r>
          </w:p>
        </w:tc>
      </w:tr>
      <w:tr w:rsidR="00E011EB" w:rsidRPr="00E011EB" w:rsidTr="00E011EB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11EB" w:rsidRPr="00E011EB" w:rsidRDefault="00E011EB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011E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الأنفاق الأجمالي( المصرف الفعلي مضافآ اليه السلف 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011EB" w:rsidRPr="00E011EB" w:rsidRDefault="00E011EB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011E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20,511,067 </w:t>
            </w:r>
          </w:p>
        </w:tc>
      </w:tr>
    </w:tbl>
    <w:p w:rsidR="008821EA" w:rsidRDefault="008821EA">
      <w:pPr>
        <w:rPr>
          <w:rtl/>
        </w:rPr>
      </w:pPr>
    </w:p>
    <w:p w:rsidR="00BB7F69" w:rsidRDefault="00E011EB">
      <w:pPr>
        <w:rPr>
          <w:rtl/>
        </w:rPr>
      </w:pPr>
      <w:r>
        <w:rPr>
          <w:noProof/>
        </w:rPr>
        <w:drawing>
          <wp:inline distT="0" distB="0" distL="0" distR="0" wp14:anchorId="2E829B0D" wp14:editId="7C2E6F7B">
            <wp:extent cx="7234280" cy="3536220"/>
            <wp:effectExtent l="0" t="0" r="24130" b="266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2900"/>
        <w:gridCol w:w="2968"/>
        <w:gridCol w:w="1687"/>
      </w:tblGrid>
      <w:tr w:rsidR="00E011EB" w:rsidRPr="00E011EB" w:rsidTr="00E011EB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>ملخص الأيرادات حسب انواعها</w:t>
            </w:r>
          </w:p>
        </w:tc>
      </w:tr>
      <w:tr w:rsidR="00E011EB" w:rsidRPr="00E011EB" w:rsidTr="00E011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الأعـــــــــــــــداد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الايرادات الفعلية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الأهمية النسبية </w:t>
            </w:r>
          </w:p>
        </w:tc>
      </w:tr>
      <w:tr w:rsidR="00E011EB" w:rsidRPr="00E011EB" w:rsidTr="00E011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الايرادات النفطية والثروات المعدنية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21,781,638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90%</w:t>
            </w:r>
          </w:p>
        </w:tc>
      </w:tr>
      <w:tr w:rsidR="00E011EB" w:rsidRPr="00E011EB" w:rsidTr="00E011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حصة الموازنة من ارباح القطاع العام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716,368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</w:tr>
      <w:tr w:rsidR="00E011EB" w:rsidRPr="00E011EB" w:rsidTr="00E011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الايرادات التحويلية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570,645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E011EB" w:rsidRPr="00E011EB" w:rsidTr="00E011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الضرائب على الدخول والثروات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341,857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E011EB" w:rsidRPr="00E011EB" w:rsidTr="00E011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الرسوم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248,677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E011EB" w:rsidRPr="00E011EB" w:rsidTr="00E011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ايرادات اخرى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219,754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E011EB" w:rsidRPr="00E011EB" w:rsidTr="00E011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الضرائب السلعية ورسوم الانتاج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192,342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E011EB" w:rsidRPr="00E011EB" w:rsidTr="00E011E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الايرادات الرأسمالية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  55,947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011EB" w:rsidRPr="00381DE1" w:rsidRDefault="00E011EB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0.2%</w:t>
            </w:r>
          </w:p>
        </w:tc>
      </w:tr>
    </w:tbl>
    <w:p w:rsidR="008821EA" w:rsidRDefault="008821EA">
      <w:pPr>
        <w:rPr>
          <w:rtl/>
          <w:lang w:bidi="ar-IQ"/>
        </w:rPr>
      </w:pPr>
    </w:p>
    <w:p w:rsidR="00BB7F69" w:rsidRDefault="00E011EB">
      <w:pPr>
        <w:rPr>
          <w:rFonts w:hint="cs"/>
          <w:rtl/>
          <w:lang w:bidi="ar-IQ"/>
        </w:rPr>
      </w:pPr>
      <w:r>
        <w:rPr>
          <w:noProof/>
        </w:rPr>
        <w:drawing>
          <wp:inline distT="0" distB="0" distL="0" distR="0" wp14:anchorId="306DF13D" wp14:editId="69B92C63">
            <wp:extent cx="7096715" cy="2832213"/>
            <wp:effectExtent l="0" t="0" r="9525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441E" w:rsidRDefault="00BC441E">
      <w:pPr>
        <w:rPr>
          <w:rtl/>
          <w:lang w:bidi="ar-IQ"/>
        </w:rPr>
      </w:pPr>
    </w:p>
    <w:tbl>
      <w:tblPr>
        <w:bidiVisual/>
        <w:tblW w:w="0" w:type="auto"/>
        <w:tblInd w:w="-557" w:type="dxa"/>
        <w:tblLook w:val="04A0" w:firstRow="1" w:lastRow="0" w:firstColumn="1" w:lastColumn="0" w:noHBand="0" w:noVBand="1"/>
      </w:tblPr>
      <w:tblGrid>
        <w:gridCol w:w="3050"/>
        <w:gridCol w:w="2195"/>
        <w:gridCol w:w="1984"/>
        <w:gridCol w:w="1418"/>
      </w:tblGrid>
      <w:tr w:rsidR="00E011EB" w:rsidRPr="00381DE1" w:rsidTr="00113D6C">
        <w:trPr>
          <w:trHeight w:val="20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11EB" w:rsidRPr="00381DE1" w:rsidRDefault="00E011EB" w:rsidP="00113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 xml:space="preserve">جدول يوضح نسبة الأهمية النسبية حسب التصنيف الأقتصادي </w:t>
            </w:r>
          </w:p>
        </w:tc>
      </w:tr>
      <w:tr w:rsidR="00113D6C" w:rsidRPr="00381DE1" w:rsidTr="00381DE1">
        <w:trPr>
          <w:trHeight w:val="2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3D6C" w:rsidRPr="00381DE1" w:rsidRDefault="00113D6C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3D6C" w:rsidRPr="00381DE1" w:rsidRDefault="00113D6C" w:rsidP="0065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3D6C" w:rsidRPr="00381DE1" w:rsidRDefault="00113D6C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3D6C" w:rsidRPr="00381DE1" w:rsidRDefault="00113D6C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الأهمية النسبية  </w:t>
            </w:r>
          </w:p>
        </w:tc>
      </w:tr>
      <w:tr w:rsidR="00113D6C" w:rsidRPr="00381DE1" w:rsidTr="00381DE1">
        <w:trPr>
          <w:trHeight w:val="2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 تعويضات الموظفين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38,550,630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13,412,226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71%</w:t>
            </w:r>
          </w:p>
        </w:tc>
      </w:tr>
      <w:tr w:rsidR="00113D6C" w:rsidRPr="00381DE1" w:rsidTr="00381DE1">
        <w:trPr>
          <w:trHeight w:val="2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الرعاية الاجتماعية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19,624,201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3,529,269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19%</w:t>
            </w:r>
          </w:p>
        </w:tc>
      </w:tr>
      <w:tr w:rsidR="00113D6C" w:rsidRPr="00381DE1" w:rsidTr="00381DE1">
        <w:trPr>
          <w:trHeight w:val="2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المنح والاعانات وخدمة الدين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12,343,115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1,232,395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7%</w:t>
            </w:r>
          </w:p>
        </w:tc>
      </w:tr>
      <w:tr w:rsidR="00113D6C" w:rsidRPr="00381DE1" w:rsidTr="00381DE1">
        <w:trPr>
          <w:trHeight w:val="2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المستلزمات السلعية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4,750,015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303,819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113D6C" w:rsidRPr="00381DE1" w:rsidTr="00381DE1">
        <w:trPr>
          <w:trHeight w:val="2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المستلزمات الخدمية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963,556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187,104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113D6C" w:rsidRPr="00381DE1" w:rsidTr="00381DE1">
        <w:trPr>
          <w:trHeight w:val="2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صيانة الموجودات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723,818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81,022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0.4%</w:t>
            </w:r>
          </w:p>
        </w:tc>
      </w:tr>
      <w:tr w:rsidR="00113D6C" w:rsidRPr="00381DE1" w:rsidTr="00381DE1">
        <w:trPr>
          <w:trHeight w:val="2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النفقات الرأسمالية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499,465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24,194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</w:tr>
      <w:tr w:rsidR="00113D6C" w:rsidRPr="00381DE1" w:rsidTr="00381DE1">
        <w:trPr>
          <w:trHeight w:val="2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الالتزامات والمساهمات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595,128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10,770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</w:tr>
      <w:tr w:rsidR="00113D6C" w:rsidRPr="00381DE1" w:rsidTr="00381DE1">
        <w:trPr>
          <w:trHeight w:val="2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البرامج الخاصة</w:t>
            </w:r>
          </w:p>
        </w:tc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198,464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0.002%</w:t>
            </w:r>
          </w:p>
        </w:tc>
      </w:tr>
    </w:tbl>
    <w:p w:rsidR="00BB7F69" w:rsidRPr="00381DE1" w:rsidRDefault="00BB7F69">
      <w:pPr>
        <w:rPr>
          <w:rtl/>
          <w:lang w:bidi="ar-IQ"/>
        </w:rPr>
      </w:pPr>
    </w:p>
    <w:p w:rsidR="00AE4134" w:rsidRDefault="00E011EB" w:rsidP="00381DE1">
      <w:pPr>
        <w:ind w:hanging="665"/>
        <w:rPr>
          <w:rFonts w:hint="cs"/>
          <w:rtl/>
          <w:lang w:bidi="ar-IQ"/>
        </w:rPr>
      </w:pPr>
      <w:r>
        <w:rPr>
          <w:noProof/>
        </w:rPr>
        <w:drawing>
          <wp:inline distT="0" distB="0" distL="0" distR="0" wp14:anchorId="13665C02" wp14:editId="71A5DB2A">
            <wp:extent cx="6611193" cy="2686556"/>
            <wp:effectExtent l="0" t="0" r="18415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441E" w:rsidRDefault="00BC441E" w:rsidP="00381DE1">
      <w:pPr>
        <w:ind w:hanging="665"/>
        <w:rPr>
          <w:rtl/>
          <w:lang w:bidi="ar-IQ"/>
        </w:rPr>
      </w:pPr>
    </w:p>
    <w:tbl>
      <w:tblPr>
        <w:bidiVisual/>
        <w:tblW w:w="0" w:type="auto"/>
        <w:tblInd w:w="93" w:type="dxa"/>
        <w:tblLook w:val="04A0" w:firstRow="1" w:lastRow="0" w:firstColumn="1" w:lastColumn="0" w:noHBand="0" w:noVBand="1"/>
      </w:tblPr>
      <w:tblGrid>
        <w:gridCol w:w="4028"/>
        <w:gridCol w:w="1701"/>
        <w:gridCol w:w="1842"/>
        <w:gridCol w:w="1701"/>
      </w:tblGrid>
      <w:tr w:rsidR="00E011EB" w:rsidRPr="00381DE1" w:rsidTr="00113D6C">
        <w:trPr>
          <w:trHeight w:val="20"/>
        </w:trPr>
        <w:tc>
          <w:tcPr>
            <w:tcW w:w="9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011EB" w:rsidRPr="00381DE1" w:rsidRDefault="00E011EB" w:rsidP="00113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>جدول يوضح نسبة الأنفاق الفعلي حسب التصنيف الأقتصادي</w:t>
            </w:r>
          </w:p>
        </w:tc>
      </w:tr>
      <w:tr w:rsidR="00113D6C" w:rsidRPr="00381DE1" w:rsidTr="00381DE1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3D6C" w:rsidRPr="00381DE1" w:rsidRDefault="00113D6C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3D6C" w:rsidRPr="00381DE1" w:rsidRDefault="00113D6C" w:rsidP="0065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3D6C" w:rsidRPr="00381DE1" w:rsidRDefault="00113D6C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13D6C" w:rsidRPr="00381DE1" w:rsidRDefault="00113D6C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الأنفاق الفعلي </w:t>
            </w:r>
          </w:p>
        </w:tc>
      </w:tr>
      <w:tr w:rsidR="00113D6C" w:rsidRPr="00381DE1" w:rsidTr="00381DE1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 تعويضات الموظفين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38,550,630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13,412,226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35%</w:t>
            </w:r>
          </w:p>
        </w:tc>
      </w:tr>
      <w:tr w:rsidR="00113D6C" w:rsidRPr="00381DE1" w:rsidTr="00381DE1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المستلزمات الخدمية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963,556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187,104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19%</w:t>
            </w:r>
          </w:p>
        </w:tc>
      </w:tr>
      <w:tr w:rsidR="00113D6C" w:rsidRPr="00381DE1" w:rsidTr="00381DE1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الرعاية الاجتماعية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19,624,201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3,529,269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18%</w:t>
            </w:r>
          </w:p>
        </w:tc>
      </w:tr>
      <w:tr w:rsidR="00113D6C" w:rsidRPr="00381DE1" w:rsidTr="00381DE1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صيانة الموجودات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723,818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81,022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11%</w:t>
            </w:r>
          </w:p>
        </w:tc>
      </w:tr>
      <w:tr w:rsidR="00113D6C" w:rsidRPr="00381DE1" w:rsidTr="00381DE1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المنح والاعانات وخدمة الدين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12,343,115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1,232,395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10%</w:t>
            </w:r>
          </w:p>
        </w:tc>
      </w:tr>
      <w:tr w:rsidR="00113D6C" w:rsidRPr="00381DE1" w:rsidTr="00381DE1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المستلزمات السلعية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4,750,015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303,819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</w:tr>
      <w:tr w:rsidR="00113D6C" w:rsidRPr="00381DE1" w:rsidTr="00381DE1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النفقات الرأسمالية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499,465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24,194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113D6C" w:rsidRPr="00381DE1" w:rsidTr="00381DE1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الالتزامات والمساهمات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595,128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10,770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</w:tr>
      <w:tr w:rsidR="00113D6C" w:rsidRPr="00381DE1" w:rsidTr="00381DE1">
        <w:trPr>
          <w:trHeight w:val="20"/>
        </w:trPr>
        <w:tc>
          <w:tcPr>
            <w:tcW w:w="4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البرامج الخاصة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198,464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113D6C" w:rsidRPr="00381DE1" w:rsidRDefault="00113D6C" w:rsidP="00E011EB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0.2%</w:t>
            </w:r>
          </w:p>
        </w:tc>
      </w:tr>
    </w:tbl>
    <w:p w:rsidR="00E011EB" w:rsidRPr="00381DE1" w:rsidRDefault="00E011EB">
      <w:pPr>
        <w:rPr>
          <w:rtl/>
          <w:lang w:bidi="ar-IQ"/>
        </w:rPr>
      </w:pPr>
    </w:p>
    <w:p w:rsidR="00BB7F69" w:rsidRDefault="00E011EB">
      <w:pPr>
        <w:rPr>
          <w:rFonts w:hint="cs"/>
          <w:rtl/>
          <w:lang w:bidi="ar-IQ"/>
        </w:rPr>
      </w:pPr>
      <w:r>
        <w:rPr>
          <w:noProof/>
        </w:rPr>
        <w:drawing>
          <wp:inline distT="0" distB="0" distL="0" distR="0" wp14:anchorId="6EBAB382" wp14:editId="300AA0C9">
            <wp:extent cx="6862046" cy="2638003"/>
            <wp:effectExtent l="0" t="0" r="15240" b="1016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441E" w:rsidRDefault="00BC441E">
      <w:pPr>
        <w:rPr>
          <w:rtl/>
          <w:lang w:bidi="ar-IQ"/>
        </w:rPr>
      </w:pPr>
      <w:bookmarkStart w:id="0" w:name="_GoBack"/>
      <w:bookmarkEnd w:id="0"/>
    </w:p>
    <w:tbl>
      <w:tblPr>
        <w:bidiVisual/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38"/>
        <w:gridCol w:w="1318"/>
        <w:gridCol w:w="1195"/>
        <w:gridCol w:w="2037"/>
        <w:gridCol w:w="2539"/>
        <w:gridCol w:w="1293"/>
        <w:gridCol w:w="1521"/>
      </w:tblGrid>
      <w:tr w:rsidR="00E011EB" w:rsidRPr="00381DE1" w:rsidTr="00381DE1">
        <w:trPr>
          <w:trHeight w:val="20"/>
        </w:trPr>
        <w:tc>
          <w:tcPr>
            <w:tcW w:w="1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 xml:space="preserve">ملخص تنفيذ الموازنه حسب التصنيف الأداري مع السلف والألتزامات </w:t>
            </w:r>
            <w:r w:rsidR="0066086D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(الجزء الأول)</w:t>
            </w:r>
          </w:p>
        </w:tc>
      </w:tr>
      <w:tr w:rsidR="00E011EB" w:rsidRPr="00381DE1" w:rsidTr="00381DE1">
        <w:trPr>
          <w:trHeight w:val="20"/>
        </w:trPr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اسماء الوزارات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2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والألتزامات 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011EB" w:rsidRPr="00381DE1" w:rsidRDefault="00E011EB" w:rsidP="00653B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</w:t>
            </w:r>
            <w:r w:rsidR="00653BC0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للأنفاق الفعلي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011EB" w:rsidRPr="00381DE1" w:rsidRDefault="00653BC0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أ</w:t>
            </w:r>
            <w:r w:rsidR="00113D6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نفاق ا</w:t>
            </w:r>
            <w:r w:rsidR="00113D6C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لأجمالي</w:t>
            </w:r>
            <w:r w:rsidR="00E011EB"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011EB" w:rsidRPr="00381DE1" w:rsidTr="00381DE1">
        <w:trPr>
          <w:trHeight w:val="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النفط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999,593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11,684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713,864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725,548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73%</w:t>
            </w:r>
          </w:p>
        </w:tc>
      </w:tr>
      <w:tr w:rsidR="00E011EB" w:rsidRPr="00381DE1" w:rsidTr="00381DE1">
        <w:trPr>
          <w:trHeight w:val="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وزارةالدفاع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5,057,537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2,168,469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25,778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2,194,247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43%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43%</w:t>
            </w:r>
          </w:p>
        </w:tc>
      </w:tr>
      <w:tr w:rsidR="00E011EB" w:rsidRPr="00381DE1" w:rsidTr="00381DE1">
        <w:trPr>
          <w:trHeight w:val="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التخطيط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43,039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16,388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332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16,720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38%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39%</w:t>
            </w:r>
          </w:p>
        </w:tc>
      </w:tr>
      <w:tr w:rsidR="00E011EB" w:rsidRPr="00381DE1" w:rsidTr="00381DE1">
        <w:trPr>
          <w:trHeight w:val="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التربية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7,272,791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2,803,743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6,051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2,809,794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39%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39%</w:t>
            </w:r>
          </w:p>
        </w:tc>
      </w:tr>
      <w:tr w:rsidR="00E011EB" w:rsidRPr="00381DE1" w:rsidTr="00381DE1">
        <w:trPr>
          <w:trHeight w:val="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العلوم والتكنولوجيا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144,455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55,121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497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55,618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38%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39%</w:t>
            </w:r>
          </w:p>
        </w:tc>
      </w:tr>
      <w:tr w:rsidR="00E011EB" w:rsidRPr="00381DE1" w:rsidTr="00381DE1">
        <w:trPr>
          <w:trHeight w:val="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العدل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452,113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171,705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1,708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173,414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38%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38%</w:t>
            </w:r>
          </w:p>
        </w:tc>
      </w:tr>
      <w:tr w:rsidR="00E011EB" w:rsidRPr="00381DE1" w:rsidTr="00381DE1">
        <w:trPr>
          <w:trHeight w:val="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الشباب والرياضة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95,816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34,044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2,511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36,556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36%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38%</w:t>
            </w:r>
          </w:p>
        </w:tc>
      </w:tr>
      <w:tr w:rsidR="00E011EB" w:rsidRPr="00381DE1" w:rsidTr="00381DE1">
        <w:trPr>
          <w:trHeight w:val="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مجلس القضاء الاعلى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390,074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142,529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465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142,994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37%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37%</w:t>
            </w:r>
          </w:p>
        </w:tc>
      </w:tr>
      <w:tr w:rsidR="00E011EB" w:rsidRPr="00381DE1" w:rsidTr="00381DE1">
        <w:trPr>
          <w:trHeight w:val="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التعليم العالي والبحث العلمي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2,589,664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859,124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81,014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940,138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33%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36%</w:t>
            </w:r>
          </w:p>
        </w:tc>
      </w:tr>
      <w:tr w:rsidR="00E011EB" w:rsidRPr="00381DE1" w:rsidTr="00381DE1">
        <w:trPr>
          <w:trHeight w:val="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الصحة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5,077,292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1,198,214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625,665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1,823,879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24%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36%</w:t>
            </w:r>
          </w:p>
        </w:tc>
      </w:tr>
      <w:tr w:rsidR="00E011EB" w:rsidRPr="00381DE1" w:rsidTr="00381DE1">
        <w:trPr>
          <w:trHeight w:val="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الموارد المائية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232,308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77,470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3,826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81,296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33%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35%</w:t>
            </w:r>
          </w:p>
        </w:tc>
      </w:tr>
      <w:tr w:rsidR="00E011EB" w:rsidRPr="00381DE1" w:rsidTr="00381DE1">
        <w:trPr>
          <w:trHeight w:val="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الصناعة والمعادن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46,928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16,056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192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16,248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34%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35%</w:t>
            </w:r>
          </w:p>
        </w:tc>
      </w:tr>
      <w:tr w:rsidR="00E011EB" w:rsidRPr="00381DE1" w:rsidTr="00381DE1">
        <w:trPr>
          <w:trHeight w:val="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الثقافة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96,982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30,183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2,208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32,391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31%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33%</w:t>
            </w:r>
          </w:p>
        </w:tc>
      </w:tr>
      <w:tr w:rsidR="00E011EB" w:rsidRPr="00381DE1" w:rsidTr="00381DE1">
        <w:trPr>
          <w:trHeight w:val="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الاتصالات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15,941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5,280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5,305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33%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33%</w:t>
            </w:r>
          </w:p>
        </w:tc>
      </w:tr>
      <w:tr w:rsidR="00E011EB" w:rsidRPr="00381DE1" w:rsidTr="00381DE1">
        <w:trPr>
          <w:trHeight w:val="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حقوق الانسان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16,915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5,390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67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5,457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32%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32%</w:t>
            </w:r>
          </w:p>
        </w:tc>
      </w:tr>
      <w:tr w:rsidR="00E011EB" w:rsidRPr="00381DE1" w:rsidTr="00381DE1">
        <w:trPr>
          <w:trHeight w:val="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الداخلية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11,052,559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3,506,278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14,070-</w:t>
            </w: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3,492,207</w:t>
            </w:r>
          </w:p>
        </w:tc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32%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32%</w:t>
            </w:r>
          </w:p>
        </w:tc>
      </w:tr>
    </w:tbl>
    <w:p w:rsidR="00BB7F69" w:rsidRDefault="00BB7F69">
      <w:pPr>
        <w:rPr>
          <w:rtl/>
          <w:lang w:bidi="ar-IQ"/>
        </w:rPr>
      </w:pPr>
    </w:p>
    <w:p w:rsidR="00381DE1" w:rsidRPr="00BA7E18" w:rsidRDefault="00381DE1">
      <w:pPr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7AB018BA" wp14:editId="205DC5F1">
            <wp:extent cx="7436581" cy="4725749"/>
            <wp:effectExtent l="0" t="0" r="12065" b="1778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7F69" w:rsidRDefault="00BB7F69">
      <w:pPr>
        <w:rPr>
          <w:rtl/>
          <w:lang w:bidi="ar-IQ"/>
        </w:rPr>
      </w:pPr>
    </w:p>
    <w:tbl>
      <w:tblPr>
        <w:bidiVisual/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574"/>
        <w:gridCol w:w="1318"/>
        <w:gridCol w:w="1195"/>
        <w:gridCol w:w="2059"/>
        <w:gridCol w:w="2578"/>
        <w:gridCol w:w="1336"/>
        <w:gridCol w:w="1581"/>
      </w:tblGrid>
      <w:tr w:rsidR="00E011EB" w:rsidRPr="00381DE1" w:rsidTr="00381DE1">
        <w:trPr>
          <w:trHeight w:val="20"/>
        </w:trPr>
        <w:tc>
          <w:tcPr>
            <w:tcW w:w="1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 xml:space="preserve">ملخص تنفيذ الموازنه حسب التصنيف الأداري مع السلف والألتزامات </w:t>
            </w:r>
            <w:r w:rsidR="00081DC4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(الجزء الثاني)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اسماء الوزارات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1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والألتزامات 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011EB" w:rsidRPr="00381DE1" w:rsidRDefault="00E011EB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011EB" w:rsidRPr="00381DE1" w:rsidRDefault="00653BC0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أنفاق الفعلي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E011EB" w:rsidRPr="00381DE1" w:rsidRDefault="00653BC0" w:rsidP="00E0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أ</w:t>
            </w:r>
            <w:r w:rsidR="00113D6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نفاق ال</w:t>
            </w:r>
            <w:r w:rsidR="00113D6C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أجمالي</w:t>
            </w:r>
            <w:r w:rsidR="00E011EB"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رئاسة الجمهورية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84,100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24,789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1,546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26,334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29%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31%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النقل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132,116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40,014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1,177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41,191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30%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31%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مجلس النواب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643,230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192,961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1,926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194,887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30%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30%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دوائر غير مرتبطة بوزارة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763,009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210,882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20,257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231,139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28%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30%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التجارة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4,314,024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1,136,744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153,308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1,290,052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26%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30%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البلديات والاشغال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741,769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117,275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96,470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213,746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16%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29%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مجلس الوزراء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3,722,400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805,905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259,266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1,065,171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22%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29%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البيئة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59,698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15,871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944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16,815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27%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28%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السياحة والاثار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85,283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23,258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340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23,598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27%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28%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الخارجية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415,734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69,046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28,325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97,371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17%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23%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وزارةالعمل والشوؤن الاجتماعية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1,547,621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346,866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911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347,778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22%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22%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الاعمار والاسكان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219,322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45,995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1,701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47,696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21%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22%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الزراعة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808,788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112,869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53,356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166,224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14%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21%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حكومة اقليم كردستان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9,296,560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1,757,115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1,757,162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19%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19%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المالية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17,335,830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2,601,197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479,534-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2,121,663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15%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12%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المهجرين والمهاجرين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2,584,784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104,966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99,309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204,275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8%</w:t>
            </w:r>
          </w:p>
        </w:tc>
      </w:tr>
      <w:tr w:rsidR="00E011EB" w:rsidRPr="00381DE1" w:rsidTr="00381DE1">
        <w:trPr>
          <w:trHeight w:val="20"/>
        </w:trPr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011EB" w:rsidRPr="00381DE1" w:rsidRDefault="00E011EB" w:rsidP="00381D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الكهرباء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1,910,117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73,690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37,762</w:t>
            </w: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111,452</w:t>
            </w:r>
          </w:p>
        </w:tc>
        <w:tc>
          <w:tcPr>
            <w:tcW w:w="1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  <w:tc>
          <w:tcPr>
            <w:tcW w:w="1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E011EB" w:rsidRPr="00381DE1" w:rsidRDefault="00E011EB" w:rsidP="00381DE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1DE1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</w:tr>
    </w:tbl>
    <w:p w:rsidR="0066086D" w:rsidRDefault="0066086D" w:rsidP="0066086D">
      <w:pPr>
        <w:jc w:val="center"/>
        <w:rPr>
          <w:rtl/>
          <w:lang w:bidi="ar-IQ"/>
        </w:rPr>
      </w:pPr>
    </w:p>
    <w:p w:rsidR="00775B7F" w:rsidRPr="0066086D" w:rsidRDefault="0066086D" w:rsidP="0066086D">
      <w:pPr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37420D32" wp14:editId="15DAB657">
            <wp:extent cx="7679342" cy="4628644"/>
            <wp:effectExtent l="0" t="0" r="17145" b="1968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775B7F" w:rsidRPr="0066086D" w:rsidSect="00DB19B9">
      <w:footerReference w:type="default" r:id="rId14"/>
      <w:pgSz w:w="16838" w:h="11906" w:orient="landscape" w:code="9"/>
      <w:pgMar w:top="1440" w:right="2160" w:bottom="2160" w:left="2160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3F" w:rsidRDefault="0068653F" w:rsidP="00A332E8">
      <w:pPr>
        <w:spacing w:after="0" w:line="240" w:lineRule="auto"/>
      </w:pPr>
      <w:r>
        <w:separator/>
      </w:r>
    </w:p>
  </w:endnote>
  <w:endnote w:type="continuationSeparator" w:id="0">
    <w:p w:rsidR="0068653F" w:rsidRDefault="0068653F" w:rsidP="00A3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38088181"/>
      <w:docPartObj>
        <w:docPartGallery w:val="Page Numbers (Bottom of Page)"/>
        <w:docPartUnique/>
      </w:docPartObj>
    </w:sdtPr>
    <w:sdtEndPr/>
    <w:sdtContent>
      <w:p w:rsidR="00E011EB" w:rsidRDefault="00E011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41E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E011EB" w:rsidRDefault="00E01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3F" w:rsidRDefault="0068653F" w:rsidP="00A332E8">
      <w:pPr>
        <w:spacing w:after="0" w:line="240" w:lineRule="auto"/>
      </w:pPr>
      <w:r>
        <w:separator/>
      </w:r>
    </w:p>
  </w:footnote>
  <w:footnote w:type="continuationSeparator" w:id="0">
    <w:p w:rsidR="0068653F" w:rsidRDefault="0068653F" w:rsidP="00A33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C"/>
    <w:rsid w:val="0002319A"/>
    <w:rsid w:val="00081DC4"/>
    <w:rsid w:val="000A703F"/>
    <w:rsid w:val="000C2FC4"/>
    <w:rsid w:val="00113D6C"/>
    <w:rsid w:val="00133357"/>
    <w:rsid w:val="00221730"/>
    <w:rsid w:val="002476AF"/>
    <w:rsid w:val="002572ED"/>
    <w:rsid w:val="00273189"/>
    <w:rsid w:val="00381DE1"/>
    <w:rsid w:val="0039618B"/>
    <w:rsid w:val="003D4FDE"/>
    <w:rsid w:val="00422227"/>
    <w:rsid w:val="004D476F"/>
    <w:rsid w:val="004D588E"/>
    <w:rsid w:val="004E5E5D"/>
    <w:rsid w:val="0052793A"/>
    <w:rsid w:val="005315FB"/>
    <w:rsid w:val="00534B02"/>
    <w:rsid w:val="00553033"/>
    <w:rsid w:val="00586D89"/>
    <w:rsid w:val="005F4132"/>
    <w:rsid w:val="00605F63"/>
    <w:rsid w:val="00641244"/>
    <w:rsid w:val="00643CCC"/>
    <w:rsid w:val="00653BC0"/>
    <w:rsid w:val="0066086D"/>
    <w:rsid w:val="0068653F"/>
    <w:rsid w:val="00775B7F"/>
    <w:rsid w:val="0077718E"/>
    <w:rsid w:val="00815E53"/>
    <w:rsid w:val="008821EA"/>
    <w:rsid w:val="008F7C11"/>
    <w:rsid w:val="0090285D"/>
    <w:rsid w:val="00960962"/>
    <w:rsid w:val="00963C55"/>
    <w:rsid w:val="00972BEB"/>
    <w:rsid w:val="00986482"/>
    <w:rsid w:val="009E571C"/>
    <w:rsid w:val="00A332E8"/>
    <w:rsid w:val="00A57B43"/>
    <w:rsid w:val="00AA4E4A"/>
    <w:rsid w:val="00AC4511"/>
    <w:rsid w:val="00AE4134"/>
    <w:rsid w:val="00AF1442"/>
    <w:rsid w:val="00B2593A"/>
    <w:rsid w:val="00B444BB"/>
    <w:rsid w:val="00B611D5"/>
    <w:rsid w:val="00B77FCB"/>
    <w:rsid w:val="00B85777"/>
    <w:rsid w:val="00BA7E18"/>
    <w:rsid w:val="00BB7F69"/>
    <w:rsid w:val="00BC441E"/>
    <w:rsid w:val="00BD0020"/>
    <w:rsid w:val="00BE26EA"/>
    <w:rsid w:val="00C04897"/>
    <w:rsid w:val="00CA3959"/>
    <w:rsid w:val="00CB518E"/>
    <w:rsid w:val="00CE4BA1"/>
    <w:rsid w:val="00D353F1"/>
    <w:rsid w:val="00D75DD8"/>
    <w:rsid w:val="00DB19B9"/>
    <w:rsid w:val="00DB4564"/>
    <w:rsid w:val="00E011EB"/>
    <w:rsid w:val="00E01844"/>
    <w:rsid w:val="00EB54E0"/>
    <w:rsid w:val="00EE6E7F"/>
    <w:rsid w:val="00F12553"/>
    <w:rsid w:val="00F24A81"/>
    <w:rsid w:val="00F60C81"/>
    <w:rsid w:val="00F61E55"/>
    <w:rsid w:val="00FA4FD5"/>
    <w:rsid w:val="00FB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605;&#1575;&#1610;&#1587;\&#1578;&#1602;&#1585;&#1610;&#1585;%20&#1578;&#1606;&#1601;&#1610;&#1584;%20&#1575;&#1604;&#1605;&#1608;&#1575;&#1586;&#1606;&#1577;%20&#1604;&#1594;&#1575;&#1610;&#1577;%20&#1605;&#1575;&#1610;&#1587;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605;&#1575;&#1610;&#1587;\&#1578;&#1602;&#1585;&#1610;&#1585;%20&#1578;&#1606;&#1601;&#1610;&#1584;%20&#1575;&#1604;&#1605;&#1608;&#1575;&#1586;&#1606;&#1577;%20&#1604;&#1594;&#1575;&#1610;&#1577;%20&#1605;&#1575;&#1610;&#1587;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605;&#1575;&#1610;&#1587;\&#1578;&#1602;&#1585;&#1610;&#1585;%20&#1578;&#1606;&#1601;&#1610;&#1584;%20&#1575;&#1604;&#1605;&#1608;&#1575;&#1586;&#1606;&#1577;%20&#1604;&#1594;&#1575;&#1610;&#1577;%20&#1605;&#1575;&#1610;&#1587;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605;&#1575;&#1610;&#1587;\&#1578;&#1602;&#1585;&#1610;&#1585;%20&#1578;&#1606;&#1601;&#1610;&#1584;%20&#1575;&#1604;&#1605;&#1608;&#1575;&#1586;&#1606;&#1577;%20&#1604;&#1594;&#1575;&#1610;&#1577;%20&#1605;&#1575;&#1610;&#1587;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605;&#1575;&#1610;&#1587;\&#1578;&#1602;&#1585;&#1610;&#1585;%20&#1578;&#1606;&#1601;&#1610;&#1584;%20&#1575;&#1604;&#1605;&#1608;&#1575;&#1586;&#1606;&#1577;%20&#1604;&#1594;&#1575;&#1610;&#1577;%20&#1605;&#1575;&#1610;&#1587;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605;&#1575;&#1610;&#1587;\&#1578;&#1602;&#1585;&#1610;&#1585;%20&#1578;&#1606;&#1601;&#1610;&#1584;%20&#1575;&#1604;&#1605;&#1608;&#1575;&#1586;&#1606;&#1577;%20&#1604;&#1594;&#1575;&#1610;&#1577;%20&#1605;&#1575;&#1610;&#1587;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F\Desktop\&#1578;&#1602;&#1585;&#1610;&#1585;\2015\&#1605;&#1575;&#1610;&#1587;\&#1578;&#1602;&#1585;&#1610;&#1585;%20&#1578;&#1606;&#1601;&#1610;&#1584;%20&#1575;&#1604;&#1605;&#1608;&#1575;&#1586;&#1606;&#1577;%20&#1604;&#1594;&#1575;&#1610;&#1577;%20&#1605;&#1575;&#1610;&#1587;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الأنفاق العام مقارنه بالأعتمادات المصدقه </a:t>
            </a:r>
            <a:endParaRPr lang="en-US" sz="1200"/>
          </a:p>
        </c:rich>
      </c:tx>
      <c:layout>
        <c:manualLayout>
          <c:xMode val="edge"/>
          <c:yMode val="edge"/>
          <c:x val="0.47859061999988523"/>
          <c:y val="6.0626295718895329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0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000" b="1"/>
                  </a:pPr>
                  <a:endParaRPr lang="ar-IQ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alpha val="98000"/>
                  </a:schemeClr>
                </a:solidFill>
              </a:ln>
            </c:spPr>
            <c:txPr>
              <a:bodyPr/>
              <a:lstStyle/>
              <a:p>
                <a:pPr>
                  <a:defRPr sz="1000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عمل'!$A$28:$A$29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عمل'!$B$28:$B$29</c:f>
              <c:numCache>
                <c:formatCode>_-* #,##0_-;_-* #,##0\-;_-* "-"??_-;_-@_-</c:formatCode>
                <c:ptCount val="2"/>
                <c:pt idx="0">
                  <c:v>78248392</c:v>
                </c:pt>
                <c:pt idx="1">
                  <c:v>20511067.291700408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8601472"/>
        <c:axId val="168603008"/>
        <c:axId val="0"/>
      </c:bar3DChart>
      <c:catAx>
        <c:axId val="1686014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68603008"/>
        <c:crosses val="autoZero"/>
        <c:auto val="1"/>
        <c:lblAlgn val="ctr"/>
        <c:lblOffset val="100"/>
        <c:noMultiLvlLbl val="0"/>
      </c:catAx>
      <c:valAx>
        <c:axId val="168603008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68601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200"/>
          </a:p>
        </c:rich>
      </c:tx>
      <c:layout>
        <c:manualLayout>
          <c:xMode val="edge"/>
          <c:yMode val="edge"/>
          <c:x val="0.56973715495886057"/>
          <c:y val="5.490315865689202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-8.1914890643620987E-3"/>
                  <c:y val="-3.7637473093158028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lumMod val="20000"/>
                    <a:lumOff val="80000"/>
                  </a:schemeClr>
                </a:solidFill>
              </a:ln>
            </c:spPr>
            <c:txPr>
              <a:bodyPr/>
              <a:lstStyle/>
              <a:p>
                <a:pPr>
                  <a:defRPr sz="105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عمل'!$A$4:$A$7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عمل'!$B$4:$B$7</c:f>
              <c:numCache>
                <c:formatCode>_-* #,##0_-;_-* #,##0\-;_-* "-"??_-;_-@_-</c:formatCode>
                <c:ptCount val="4"/>
                <c:pt idx="0">
                  <c:v>24127227.591047999</c:v>
                </c:pt>
                <c:pt idx="1">
                  <c:v>18781122.886645</c:v>
                </c:pt>
                <c:pt idx="2">
                  <c:v>1729944.4050554063</c:v>
                </c:pt>
                <c:pt idx="3">
                  <c:v>20511067.291700408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8501248"/>
        <c:axId val="168502784"/>
        <c:axId val="0"/>
      </c:bar3DChart>
      <c:catAx>
        <c:axId val="1685012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68502784"/>
        <c:crosses val="autoZero"/>
        <c:auto val="1"/>
        <c:lblAlgn val="ctr"/>
        <c:lblOffset val="100"/>
        <c:noMultiLvlLbl val="0"/>
      </c:catAx>
      <c:valAx>
        <c:axId val="168502784"/>
        <c:scaling>
          <c:orientation val="minMax"/>
        </c:scaling>
        <c:delete val="0"/>
        <c:axPos val="l"/>
        <c:majorGridlines/>
        <c:numFmt formatCode="_-* #,##0_-;_-* #,##0\-;_-* &quot;-&quot;??_-;_-@_-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68501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للأيرادات</a:t>
            </a:r>
            <a:endParaRPr lang="en-US" sz="1200"/>
          </a:p>
        </c:rich>
      </c:tx>
      <c:layout>
        <c:manualLayout>
          <c:xMode val="edge"/>
          <c:yMode val="edge"/>
          <c:x val="0.62035392431568692"/>
          <c:y val="6.4447936160446306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عمل'!$C$13</c:f>
              <c:strCache>
                <c:ptCount val="1"/>
                <c:pt idx="0">
                  <c:v>نسبة الأهمية النسبية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عمل'!$A$14:$A$21</c:f>
              <c:strCache>
                <c:ptCount val="8"/>
                <c:pt idx="0">
                  <c:v> الايرادات النفطية والثروات المعدنية</c:v>
                </c:pt>
                <c:pt idx="1">
                  <c:v> حصة الموازنة من ارباح القطاع العام</c:v>
                </c:pt>
                <c:pt idx="2">
                  <c:v> الايرادات التحويلية</c:v>
                </c:pt>
                <c:pt idx="3">
                  <c:v> الضرائب على الدخول والثروات</c:v>
                </c:pt>
                <c:pt idx="4">
                  <c:v> الرسوم</c:v>
                </c:pt>
                <c:pt idx="5">
                  <c:v> ايرادات اخرى</c:v>
                </c:pt>
                <c:pt idx="6">
                  <c:v> الضرائب السلعية ورسوم الانتاج</c:v>
                </c:pt>
                <c:pt idx="7">
                  <c:v> الايرادات الرأسمالية</c:v>
                </c:pt>
              </c:strCache>
            </c:strRef>
          </c:cat>
          <c:val>
            <c:numRef>
              <c:f>'ورقه عمل'!$C$14:$C$21</c:f>
              <c:numCache>
                <c:formatCode>0%</c:formatCode>
                <c:ptCount val="8"/>
                <c:pt idx="0">
                  <c:v>0.9027824696063963</c:v>
                </c:pt>
                <c:pt idx="1">
                  <c:v>2.9691260729273812E-2</c:v>
                </c:pt>
                <c:pt idx="2">
                  <c:v>2.3651474263460173E-2</c:v>
                </c:pt>
                <c:pt idx="3">
                  <c:v>1.4168929893855825E-2</c:v>
                </c:pt>
                <c:pt idx="4">
                  <c:v>1.0306915298889479E-2</c:v>
                </c:pt>
                <c:pt idx="5">
                  <c:v>9.1081253452770915E-3</c:v>
                </c:pt>
                <c:pt idx="6">
                  <c:v>7.9720096281748268E-3</c:v>
                </c:pt>
                <c:pt idx="7" formatCode="0.0%">
                  <c:v>2.3188152346742498E-3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8519552"/>
        <c:axId val="168521088"/>
        <c:axId val="0"/>
      </c:bar3DChart>
      <c:catAx>
        <c:axId val="168519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68521088"/>
        <c:crosses val="autoZero"/>
        <c:auto val="1"/>
        <c:lblAlgn val="ctr"/>
        <c:lblOffset val="100"/>
        <c:noMultiLvlLbl val="0"/>
      </c:catAx>
      <c:valAx>
        <c:axId val="1685210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68519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للنفقات حسب التصنيف الاقتصادي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200"/>
          </a:p>
        </c:rich>
      </c:tx>
      <c:layout>
        <c:manualLayout>
          <c:xMode val="edge"/>
          <c:yMode val="edge"/>
          <c:x val="0.40872381347106368"/>
          <c:y val="8.7170752592096196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عمل'!$E$37</c:f>
              <c:strCache>
                <c:ptCount val="1"/>
                <c:pt idx="0">
                  <c:v>الأهمية النسبية 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عمل'!$A$38:$A$46</c:f>
              <c:strCache>
                <c:ptCount val="9"/>
                <c:pt idx="0">
                  <c:v>   تعويضات الموظفين</c:v>
                </c:pt>
                <c:pt idx="1">
                  <c:v>  الرعاية الاجتماعية</c:v>
                </c:pt>
                <c:pt idx="2">
                  <c:v>  المنح والاعانات وخدمة الدين</c:v>
                </c:pt>
                <c:pt idx="3">
                  <c:v>  المستلزمات السلعية</c:v>
                </c:pt>
                <c:pt idx="4">
                  <c:v>  المستلزمات الخدمية</c:v>
                </c:pt>
                <c:pt idx="5">
                  <c:v>  صيانة الموجودات</c:v>
                </c:pt>
                <c:pt idx="6">
                  <c:v>  النفقات الرأسمالية</c:v>
                </c:pt>
                <c:pt idx="7">
                  <c:v>  الالتزامات والمساهمات</c:v>
                </c:pt>
                <c:pt idx="8">
                  <c:v>  البرامج الخاصة</c:v>
                </c:pt>
              </c:strCache>
            </c:strRef>
          </c:cat>
          <c:val>
            <c:numRef>
              <c:f>'ورقه عمل'!$E$38:$E$46</c:f>
              <c:numCache>
                <c:formatCode>0%</c:formatCode>
                <c:ptCount val="9"/>
                <c:pt idx="0">
                  <c:v>0.71413335198633143</c:v>
                </c:pt>
                <c:pt idx="1">
                  <c:v>0.18791575731385077</c:v>
                </c:pt>
                <c:pt idx="2">
                  <c:v>6.5618831476478415E-2</c:v>
                </c:pt>
                <c:pt idx="3">
                  <c:v>1.617683983866277E-2</c:v>
                </c:pt>
                <c:pt idx="4">
                  <c:v>9.9623228207128024E-3</c:v>
                </c:pt>
                <c:pt idx="5" formatCode="0.0%">
                  <c:v>4.313986177013584E-3</c:v>
                </c:pt>
                <c:pt idx="6" formatCode="0.0%">
                  <c:v>1.2882070727093747E-3</c:v>
                </c:pt>
                <c:pt idx="7" formatCode="0.0%">
                  <c:v>5.7345123874134494E-4</c:v>
                </c:pt>
                <c:pt idx="8" formatCode="0.000%">
                  <c:v>1.7252075499191876E-5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8829312"/>
        <c:axId val="168830848"/>
        <c:axId val="0"/>
      </c:bar3DChart>
      <c:catAx>
        <c:axId val="16882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68830848"/>
        <c:crosses val="autoZero"/>
        <c:auto val="1"/>
        <c:lblAlgn val="ctr"/>
        <c:lblOffset val="100"/>
        <c:noMultiLvlLbl val="0"/>
      </c:catAx>
      <c:valAx>
        <c:axId val="168830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68829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الانفاق حسب التصنيف الاقتصادي</a:t>
            </a:r>
            <a:r>
              <a:rPr lang="ar-IQ" sz="12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200"/>
          </a:p>
        </c:rich>
      </c:tx>
      <c:layout>
        <c:manualLayout>
          <c:xMode val="edge"/>
          <c:yMode val="edge"/>
          <c:x val="0.53694291760795532"/>
          <c:y val="9.2692746579523005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'ورقه عمل'!$D$52</c:f>
              <c:strCache>
                <c:ptCount val="1"/>
                <c:pt idx="0">
                  <c:v>نسبة الأنفاق الفعلي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 b="1"/>
                </a:pPr>
                <a:endParaRPr lang="ar-IQ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عمل'!$A$53:$A$61</c:f>
              <c:strCache>
                <c:ptCount val="9"/>
                <c:pt idx="0">
                  <c:v>   تعويضات الموظفين</c:v>
                </c:pt>
                <c:pt idx="1">
                  <c:v>  المستلزمات الخدمية</c:v>
                </c:pt>
                <c:pt idx="2">
                  <c:v>  الرعاية الاجتماعية</c:v>
                </c:pt>
                <c:pt idx="3">
                  <c:v>  صيانة الموجودات</c:v>
                </c:pt>
                <c:pt idx="4">
                  <c:v>  المنح والاعانات وخدمة الدين</c:v>
                </c:pt>
                <c:pt idx="5">
                  <c:v>  المستلزمات السلعية</c:v>
                </c:pt>
                <c:pt idx="6">
                  <c:v>  النفقات الرأسمالية</c:v>
                </c:pt>
                <c:pt idx="7">
                  <c:v>  الالتزامات والمساهمات</c:v>
                </c:pt>
                <c:pt idx="8">
                  <c:v>  البرامج الخاصة</c:v>
                </c:pt>
              </c:strCache>
            </c:strRef>
          </c:cat>
          <c:val>
            <c:numRef>
              <c:f>'ورقه عمل'!$D$53:$D$61</c:f>
              <c:numCache>
                <c:formatCode>0%</c:formatCode>
                <c:ptCount val="9"/>
                <c:pt idx="0">
                  <c:v>0.34791198590287631</c:v>
                </c:pt>
                <c:pt idx="1">
                  <c:v>0.19418031659004251</c:v>
                </c:pt>
                <c:pt idx="2">
                  <c:v>0.17984268151597052</c:v>
                </c:pt>
                <c:pt idx="3">
                  <c:v>0.11193629409848883</c:v>
                </c:pt>
                <c:pt idx="4">
                  <c:v>9.9844758607352355E-2</c:v>
                </c:pt>
                <c:pt idx="5">
                  <c:v>6.3961738421352346E-2</c:v>
                </c:pt>
                <c:pt idx="6">
                  <c:v>4.8439781237924577E-2</c:v>
                </c:pt>
                <c:pt idx="7">
                  <c:v>1.8097044979063327E-2</c:v>
                </c:pt>
                <c:pt idx="8" formatCode="0.0%">
                  <c:v>1.6326051576104482E-3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8847616"/>
        <c:axId val="168849408"/>
        <c:axId val="0"/>
      </c:bar3DChart>
      <c:catAx>
        <c:axId val="168847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68849408"/>
        <c:crosses val="autoZero"/>
        <c:auto val="1"/>
        <c:lblAlgn val="ctr"/>
        <c:lblOffset val="100"/>
        <c:noMultiLvlLbl val="0"/>
      </c:catAx>
      <c:valAx>
        <c:axId val="168849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68847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 (الجزء الأول)</a:t>
            </a:r>
            <a:endParaRPr lang="ar-IQ" sz="1200"/>
          </a:p>
        </c:rich>
      </c:tx>
      <c:layout>
        <c:manualLayout>
          <c:xMode val="edge"/>
          <c:yMode val="edge"/>
          <c:x val="0.52718809893955298"/>
          <c:y val="5.0789200261550212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عمل'!$G$66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عمل'!$A$67:$A$82</c:f>
              <c:strCache>
                <c:ptCount val="16"/>
                <c:pt idx="0">
                  <c:v> وزارة النفط</c:v>
                </c:pt>
                <c:pt idx="1">
                  <c:v> وزارةالدفاع</c:v>
                </c:pt>
                <c:pt idx="2">
                  <c:v> وزارة التخطيط</c:v>
                </c:pt>
                <c:pt idx="3">
                  <c:v> وزارة التربية</c:v>
                </c:pt>
                <c:pt idx="4">
                  <c:v> وزارة العلوم والتكنولوجيا</c:v>
                </c:pt>
                <c:pt idx="5">
                  <c:v> وزارة العدل</c:v>
                </c:pt>
                <c:pt idx="6">
                  <c:v> وزارة الشباب والرياضة</c:v>
                </c:pt>
                <c:pt idx="7">
                  <c:v> مجلس القضاء الاعلى</c:v>
                </c:pt>
                <c:pt idx="8">
                  <c:v> وزارة التعليم العالي والبحث العلمي</c:v>
                </c:pt>
                <c:pt idx="9">
                  <c:v> وزارة الصحة</c:v>
                </c:pt>
                <c:pt idx="10">
                  <c:v> وزارة الموارد المائية</c:v>
                </c:pt>
                <c:pt idx="11">
                  <c:v> وزارة الصناعة والمعادن</c:v>
                </c:pt>
                <c:pt idx="12">
                  <c:v> وزارة الثقافة</c:v>
                </c:pt>
                <c:pt idx="13">
                  <c:v> وزارة الاتصالات</c:v>
                </c:pt>
                <c:pt idx="14">
                  <c:v> وزارة حقوق الانسان</c:v>
                </c:pt>
                <c:pt idx="15">
                  <c:v> وزارة الداخلية</c:v>
                </c:pt>
              </c:strCache>
            </c:strRef>
          </c:cat>
          <c:val>
            <c:numRef>
              <c:f>'ورقه عمل'!$G$67:$G$82</c:f>
              <c:numCache>
                <c:formatCode>0%</c:formatCode>
                <c:ptCount val="16"/>
                <c:pt idx="0">
                  <c:v>0.72584350368708572</c:v>
                </c:pt>
                <c:pt idx="1">
                  <c:v>0.4338567953768801</c:v>
                </c:pt>
                <c:pt idx="2">
                  <c:v>0.38848191502662693</c:v>
                </c:pt>
                <c:pt idx="3">
                  <c:v>0.38634328618737213</c:v>
                </c:pt>
                <c:pt idx="4">
                  <c:v>0.38501846810785367</c:v>
                </c:pt>
                <c:pt idx="5">
                  <c:v>0.38356262206351066</c:v>
                </c:pt>
                <c:pt idx="6">
                  <c:v>0.38151781145111463</c:v>
                </c:pt>
                <c:pt idx="7">
                  <c:v>0.36658122699795426</c:v>
                </c:pt>
                <c:pt idx="8">
                  <c:v>0.36303466608231066</c:v>
                </c:pt>
                <c:pt idx="9">
                  <c:v>0.35922278852775846</c:v>
                </c:pt>
                <c:pt idx="10">
                  <c:v>0.34994974995858513</c:v>
                </c:pt>
                <c:pt idx="11">
                  <c:v>0.34623985162376408</c:v>
                </c:pt>
                <c:pt idx="12">
                  <c:v>0.33399087693262669</c:v>
                </c:pt>
                <c:pt idx="13">
                  <c:v>0.33278436597453109</c:v>
                </c:pt>
                <c:pt idx="14">
                  <c:v>0.32261319485663609</c:v>
                </c:pt>
                <c:pt idx="15">
                  <c:v>0.31596366635011858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9091456"/>
        <c:axId val="169092992"/>
        <c:axId val="0"/>
      </c:bar3DChart>
      <c:catAx>
        <c:axId val="16909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69092992"/>
        <c:crosses val="autoZero"/>
        <c:auto val="1"/>
        <c:lblAlgn val="ctr"/>
        <c:lblOffset val="100"/>
        <c:noMultiLvlLbl val="0"/>
      </c:catAx>
      <c:valAx>
        <c:axId val="169092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69091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IQ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2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(الجزء الثاني) </a:t>
            </a:r>
            <a:endParaRPr lang="ar-IQ" sz="1200"/>
          </a:p>
        </c:rich>
      </c:tx>
      <c:layout>
        <c:manualLayout>
          <c:xMode val="edge"/>
          <c:yMode val="edge"/>
          <c:x val="0.54363264750675699"/>
          <c:y val="5.4936842594222976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'ورقه عمل'!$G$66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'ورقه عمل'!$A$83:$A$99</c:f>
              <c:strCache>
                <c:ptCount val="17"/>
                <c:pt idx="0">
                  <c:v> رئاسة الجمهورية</c:v>
                </c:pt>
                <c:pt idx="1">
                  <c:v> وزارة النقل</c:v>
                </c:pt>
                <c:pt idx="2">
                  <c:v>مجلس النواب</c:v>
                </c:pt>
                <c:pt idx="3">
                  <c:v> دوائر غير مرتبطة بوزارة</c:v>
                </c:pt>
                <c:pt idx="4">
                  <c:v> وزارة التجارة</c:v>
                </c:pt>
                <c:pt idx="5">
                  <c:v> وزارة البلديات والاشغال</c:v>
                </c:pt>
                <c:pt idx="6">
                  <c:v> مجلس الوزراء</c:v>
                </c:pt>
                <c:pt idx="7">
                  <c:v> وزارة البيئة</c:v>
                </c:pt>
                <c:pt idx="8">
                  <c:v>وزارة السياحة والاثار</c:v>
                </c:pt>
                <c:pt idx="9">
                  <c:v> وزارة الخارجية</c:v>
                </c:pt>
                <c:pt idx="10">
                  <c:v> وزارةالعمل والشوؤن الاجتماعية</c:v>
                </c:pt>
                <c:pt idx="11">
                  <c:v> وزارة الاعمار والاسكان</c:v>
                </c:pt>
                <c:pt idx="12">
                  <c:v> وزارة الزراعة</c:v>
                </c:pt>
                <c:pt idx="13">
                  <c:v> حكومة اقليم كردستان</c:v>
                </c:pt>
                <c:pt idx="14">
                  <c:v> وزارة المالية</c:v>
                </c:pt>
                <c:pt idx="15">
                  <c:v> وزارة المهجرين والمهاجرين</c:v>
                </c:pt>
                <c:pt idx="16">
                  <c:v> وزارة الكهرباء</c:v>
                </c:pt>
              </c:strCache>
            </c:strRef>
          </c:cat>
          <c:val>
            <c:numRef>
              <c:f>'ورقه عمل'!$G$83:$G$99</c:f>
              <c:numCache>
                <c:formatCode>0%</c:formatCode>
                <c:ptCount val="17"/>
                <c:pt idx="0">
                  <c:v>0.31313255000000001</c:v>
                </c:pt>
                <c:pt idx="1">
                  <c:v>0.31177623783469072</c:v>
                </c:pt>
                <c:pt idx="2">
                  <c:v>0.30298175552135315</c:v>
                </c:pt>
                <c:pt idx="3">
                  <c:v>0.30293114416894168</c:v>
                </c:pt>
                <c:pt idx="4">
                  <c:v>0.29903690322456017</c:v>
                </c:pt>
                <c:pt idx="5">
                  <c:v>0.28815680847137048</c:v>
                </c:pt>
                <c:pt idx="6">
                  <c:v>0.28615170590280736</c:v>
                </c:pt>
                <c:pt idx="7">
                  <c:v>0.28166819220074374</c:v>
                </c:pt>
                <c:pt idx="8">
                  <c:v>0.27670629850028727</c:v>
                </c:pt>
                <c:pt idx="9">
                  <c:v>0.23421522552498711</c:v>
                </c:pt>
                <c:pt idx="10">
                  <c:v>0.22471761236213517</c:v>
                </c:pt>
                <c:pt idx="11">
                  <c:v>0.21747065925898906</c:v>
                </c:pt>
                <c:pt idx="12">
                  <c:v>0.20552289882568731</c:v>
                </c:pt>
                <c:pt idx="13">
                  <c:v>0.18901210578213878</c:v>
                </c:pt>
                <c:pt idx="14">
                  <c:v>0.12238598216661929</c:v>
                </c:pt>
                <c:pt idx="15">
                  <c:v>7.9029769801654604E-2</c:v>
                </c:pt>
                <c:pt idx="16">
                  <c:v>5.834801432150491E-2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9110144"/>
        <c:axId val="169120128"/>
        <c:axId val="0"/>
      </c:bar3DChart>
      <c:catAx>
        <c:axId val="16911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69120128"/>
        <c:crosses val="autoZero"/>
        <c:auto val="1"/>
        <c:lblAlgn val="ctr"/>
        <c:lblOffset val="100"/>
        <c:noMultiLvlLbl val="0"/>
      </c:catAx>
      <c:valAx>
        <c:axId val="169120128"/>
        <c:scaling>
          <c:orientation val="minMax"/>
          <c:max val="0.8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69110144"/>
        <c:crosses val="autoZero"/>
        <c:crossBetween val="between"/>
        <c:majorUnit val="0.1"/>
        <c:minorUnit val="2.0000000000000004E-2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VMCDCHTSR4DK-1850682920-158</_dlc_DocId>
    <_dlc_DocIdUrl xmlns="536e90f3-28f6-43a2-9886-69104c66b47c">
      <Url>http://cms-mof/_layouts/DocIdRedir.aspx?ID=VMCDCHTSR4DK-1850682920-158</Url>
      <Description>VMCDCHTSR4DK-1850682920-158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3F5D9-A464-42DC-8626-968928310C0D}"/>
</file>

<file path=customXml/itemProps2.xml><?xml version="1.0" encoding="utf-8"?>
<ds:datastoreItem xmlns:ds="http://schemas.openxmlformats.org/officeDocument/2006/customXml" ds:itemID="{0C8FACCD-FC6A-45B9-9D3C-15BE17FAC77E}"/>
</file>

<file path=customXml/itemProps3.xml><?xml version="1.0" encoding="utf-8"?>
<ds:datastoreItem xmlns:ds="http://schemas.openxmlformats.org/officeDocument/2006/customXml" ds:itemID="{3B6C642B-940B-414A-8672-0B00E3A08B4B}"/>
</file>

<file path=customXml/itemProps4.xml><?xml version="1.0" encoding="utf-8"?>
<ds:datastoreItem xmlns:ds="http://schemas.openxmlformats.org/officeDocument/2006/customXml" ds:itemID="{8796B26F-A3E8-492F-BCB4-B9EAE3F83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الموازنة لغاية مايس 2015</dc:title>
  <dc:creator>DR.Ahmed Saker 2o1O</dc:creator>
  <cp:lastModifiedBy>MOF</cp:lastModifiedBy>
  <cp:revision>10</cp:revision>
  <cp:lastPrinted>2015-05-31T07:41:00Z</cp:lastPrinted>
  <dcterms:created xsi:type="dcterms:W3CDTF">2015-08-12T07:16:00Z</dcterms:created>
  <dcterms:modified xsi:type="dcterms:W3CDTF">2015-08-13T05:47:00Z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0x010100970E9202C8529F4FB773F26894CE7BF4</vt:lpwstr>
  </property>
  <property fmtid="{D5CDD505-2E9C-101B-9397-08002B2CF9AE}" pid="4" name="_dlc_DocIdItemGuid">
    <vt:lpwstr>7fb8169a-d17c-4c3e-b33a-5df5f7c6eb3c</vt:lpwstr>
  </property>
</Properties>
</file>