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7.xml" ContentType="application/vnd.openxmlformats-officedocument.drawingml.chart+xml"/>
  <Override PartName="/word/charts/chart6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62" w:rsidRDefault="00A332E8" w:rsidP="005315FB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44"/>
          <w:szCs w:val="44"/>
          <w:rtl/>
        </w:rPr>
      </w:pPr>
      <w:r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تقرير تنفيذ الموازنة</w:t>
      </w:r>
      <w:r w:rsidR="0027318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                                                                                </w:t>
      </w:r>
      <w:r w:rsidR="00815E53" w:rsidRPr="00B444BB">
        <w:rPr>
          <w:rFonts w:ascii="Andalus" w:hAnsi="Andalus" w:cs="Andalus" w:hint="cs"/>
          <w:b/>
          <w:bCs/>
          <w:i/>
          <w:iCs/>
          <w:sz w:val="24"/>
          <w:szCs w:val="24"/>
          <w:rtl/>
        </w:rPr>
        <w:t>(المبالغ بالمليون)</w:t>
      </w:r>
    </w:p>
    <w:p w:rsidR="00A332E8" w:rsidRPr="00B444BB" w:rsidRDefault="00960962" w:rsidP="00BB7F69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  <w:r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ا</w:t>
      </w:r>
      <w:r w:rsidR="005315FB"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لموازنة الجارية</w:t>
      </w:r>
      <w:r w:rsidR="00534B02">
        <w:rPr>
          <w:rFonts w:ascii="Andalus" w:hAnsi="Andalus" w:cs="Andalus"/>
          <w:b/>
          <w:bCs/>
          <w:i/>
          <w:iCs/>
          <w:sz w:val="44"/>
          <w:szCs w:val="44"/>
          <w:rtl/>
        </w:rPr>
        <w:t xml:space="preserve"> لغاية </w:t>
      </w:r>
      <w:r w:rsidR="00BB7F6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نيسان </w:t>
      </w:r>
      <w:r w:rsidR="005315FB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لسنة 2015</w:t>
      </w:r>
    </w:p>
    <w:tbl>
      <w:tblPr>
        <w:bidiVisual/>
        <w:tblW w:w="7880" w:type="dxa"/>
        <w:tblInd w:w="93" w:type="dxa"/>
        <w:tblLook w:val="04A0" w:firstRow="1" w:lastRow="0" w:firstColumn="1" w:lastColumn="0" w:noHBand="0" w:noVBand="1"/>
      </w:tblPr>
      <w:tblGrid>
        <w:gridCol w:w="4900"/>
        <w:gridCol w:w="2980"/>
      </w:tblGrid>
      <w:tr w:rsidR="00BB7F69" w:rsidRPr="00BB7F69" w:rsidTr="00BB7F69">
        <w:trPr>
          <w:trHeight w:val="20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ملخص الانفاق العام</w:t>
            </w:r>
          </w:p>
        </w:tc>
      </w:tr>
      <w:tr w:rsidR="00BB7F69" w:rsidRPr="00BB7F69" w:rsidTr="00BB7F69">
        <w:trPr>
          <w:trHeight w:val="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BB7F69" w:rsidRPr="00BB7F69" w:rsidTr="00BB7F69">
        <w:trPr>
          <w:trHeight w:val="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الاعتمادات المصدقة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78,248,392</w:t>
            </w:r>
          </w:p>
        </w:tc>
      </w:tr>
      <w:tr w:rsidR="00BB7F69" w:rsidRPr="00BB7F69" w:rsidTr="00BB7F69">
        <w:trPr>
          <w:trHeight w:val="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B7F69" w:rsidRPr="001943DD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الانفاق الاجمالي (المصرف الفعلي مضافأ اليه السلف)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16,523,173</w:t>
            </w:r>
          </w:p>
        </w:tc>
      </w:tr>
    </w:tbl>
    <w:p w:rsidR="000C2FC4" w:rsidRDefault="000C2FC4">
      <w:pPr>
        <w:rPr>
          <w:rtl/>
          <w:lang w:bidi="ar-IQ"/>
        </w:rPr>
      </w:pPr>
    </w:p>
    <w:p w:rsidR="00BB7F69" w:rsidRDefault="00BB7F69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0B649705" wp14:editId="45342CE3">
            <wp:extent cx="7153360" cy="2807936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3357" w:rsidRDefault="00133357">
      <w:pPr>
        <w:rPr>
          <w:rtl/>
          <w:lang w:bidi="ar-IQ"/>
        </w:rPr>
      </w:pPr>
    </w:p>
    <w:tbl>
      <w:tblPr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4042"/>
        <w:gridCol w:w="3090"/>
      </w:tblGrid>
      <w:tr w:rsidR="00BB7F69" w:rsidRPr="00BB7F69" w:rsidTr="001943DD">
        <w:trPr>
          <w:trHeight w:val="22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>الملخص التنفيذي للأيرادات والمصروفات على مستوى الموازنة الجارية</w:t>
            </w:r>
          </w:p>
        </w:tc>
      </w:tr>
      <w:tr w:rsidR="00BB7F69" w:rsidRPr="00BB7F69" w:rsidTr="001943D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B7F69" w:rsidRPr="001943DD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BB7F69" w:rsidRPr="00BB7F69" w:rsidTr="001943D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الأيرادات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19,004,298 </w:t>
            </w:r>
          </w:p>
        </w:tc>
      </w:tr>
      <w:tr w:rsidR="00BB7F69" w:rsidRPr="00BB7F69" w:rsidTr="001943D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المصروفات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14,804,958 </w:t>
            </w:r>
          </w:p>
        </w:tc>
      </w:tr>
      <w:tr w:rsidR="00BB7F69" w:rsidRPr="00BB7F69" w:rsidTr="001943D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1,718,216 </w:t>
            </w:r>
          </w:p>
        </w:tc>
      </w:tr>
      <w:tr w:rsidR="00BB7F69" w:rsidRPr="00BB7F69" w:rsidTr="001943DD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الأنفاق الأجمالي( المصرف الفعلي مضافآ اليه السلف 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16,523,173 </w:t>
            </w:r>
          </w:p>
        </w:tc>
      </w:tr>
    </w:tbl>
    <w:p w:rsidR="008821EA" w:rsidRDefault="008821EA">
      <w:pPr>
        <w:rPr>
          <w:rtl/>
        </w:rPr>
      </w:pPr>
    </w:p>
    <w:p w:rsidR="00BB7F69" w:rsidRDefault="00BB7F69">
      <w:pPr>
        <w:rPr>
          <w:rtl/>
        </w:rPr>
      </w:pPr>
      <w:r>
        <w:rPr>
          <w:noProof/>
        </w:rPr>
        <w:drawing>
          <wp:inline distT="0" distB="0" distL="0" distR="0" wp14:anchorId="59EEDD63" wp14:editId="2EB19DAD">
            <wp:extent cx="7015795" cy="3479575"/>
            <wp:effectExtent l="0" t="0" r="0" b="698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21EA" w:rsidRDefault="008821EA">
      <w:pPr>
        <w:rPr>
          <w:rtl/>
          <w:lang w:bidi="ar-IQ"/>
        </w:rPr>
      </w:pPr>
    </w:p>
    <w:tbl>
      <w:tblPr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2900"/>
        <w:gridCol w:w="2968"/>
        <w:gridCol w:w="1687"/>
      </w:tblGrid>
      <w:tr w:rsidR="00BB7F69" w:rsidRPr="00BB7F69" w:rsidTr="001943DD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noWrap/>
            <w:vAlign w:val="center"/>
            <w:hideMark/>
          </w:tcPr>
          <w:p w:rsidR="00BB7F69" w:rsidRPr="001943DD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>ملخص الأيرادات حسب انواعها</w:t>
            </w:r>
          </w:p>
        </w:tc>
      </w:tr>
      <w:tr w:rsidR="00BB7F69" w:rsidRPr="00BB7F69" w:rsidTr="001943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BB7F69" w:rsidRPr="001943DD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الأعـــــــــــــــداد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B7F69" w:rsidRPr="001943DD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الايرادات الفعلية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B7F69" w:rsidRPr="001943DD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الأهمية النسبية </w:t>
            </w:r>
          </w:p>
        </w:tc>
      </w:tr>
      <w:tr w:rsidR="00BB7F69" w:rsidRPr="00BB7F69" w:rsidTr="001943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الايرادات النفطية والثروات المعدنية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17,249,458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91%</w:t>
            </w:r>
          </w:p>
        </w:tc>
      </w:tr>
      <w:tr w:rsidR="00BB7F69" w:rsidRPr="00BB7F69" w:rsidTr="001943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الايرادات التحويلية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460,911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BB7F69" w:rsidRPr="00BB7F69" w:rsidTr="001943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حصة الموازنة من ارباح القطاع العام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393,635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BB7F69" w:rsidRPr="00BB7F69" w:rsidTr="001943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الضرائب على الدخول والثروات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305,944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BB7F69" w:rsidRPr="00BB7F69" w:rsidTr="001943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الرسوم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198,564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BB7F69" w:rsidRPr="00BB7F69" w:rsidTr="001943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ايرادات اخرى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185,617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BB7F69" w:rsidRPr="00BB7F69" w:rsidTr="001943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الضرائب السلعية ورسوم الانتاج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163,242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BB7F69" w:rsidRPr="00BB7F69" w:rsidTr="001943D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الايرادات الرأسمالية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 46,927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BB7F69" w:rsidRPr="001943DD" w:rsidRDefault="00BB7F69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0.2%</w:t>
            </w:r>
          </w:p>
        </w:tc>
      </w:tr>
    </w:tbl>
    <w:p w:rsidR="00BB7F69" w:rsidRDefault="00BB7F69">
      <w:pPr>
        <w:rPr>
          <w:rtl/>
          <w:lang w:bidi="ar-IQ"/>
        </w:rPr>
      </w:pPr>
    </w:p>
    <w:p w:rsidR="00BB7F69" w:rsidRDefault="00BB7F69">
      <w:pPr>
        <w:rPr>
          <w:rFonts w:hint="cs"/>
          <w:rtl/>
          <w:lang w:bidi="ar-IQ"/>
        </w:rPr>
      </w:pPr>
      <w:r>
        <w:rPr>
          <w:noProof/>
        </w:rPr>
        <w:drawing>
          <wp:inline distT="0" distB="0" distL="0" distR="0" wp14:anchorId="6C40EF6A" wp14:editId="5C9FC437">
            <wp:extent cx="6845862" cy="2832212"/>
            <wp:effectExtent l="0" t="0" r="0" b="63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550C" w:rsidRDefault="00DF550C">
      <w:pPr>
        <w:rPr>
          <w:rtl/>
          <w:lang w:bidi="ar-IQ"/>
        </w:rPr>
      </w:pPr>
    </w:p>
    <w:tbl>
      <w:tblPr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3175"/>
        <w:gridCol w:w="1845"/>
        <w:gridCol w:w="1843"/>
        <w:gridCol w:w="1985"/>
      </w:tblGrid>
      <w:tr w:rsidR="00BB7F69" w:rsidRPr="00BB7F69" w:rsidTr="00DF550C">
        <w:trPr>
          <w:trHeight w:val="20"/>
        </w:trPr>
        <w:tc>
          <w:tcPr>
            <w:tcW w:w="8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B7F69" w:rsidRPr="001943DD" w:rsidRDefault="00BB7F69" w:rsidP="00D56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 xml:space="preserve">جدول يوضح نسبة الأهمية النسبية حسب التصنيف الأقتصادي </w:t>
            </w:r>
          </w:p>
        </w:tc>
      </w:tr>
      <w:tr w:rsidR="00D56D4F" w:rsidRPr="00BB7F69" w:rsidTr="001943DD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6D4F" w:rsidRPr="001943DD" w:rsidRDefault="00D56D4F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6D4F" w:rsidRPr="001943DD" w:rsidRDefault="00796D5C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6D4F" w:rsidRPr="001943DD" w:rsidRDefault="00D56D4F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6D4F" w:rsidRPr="001943DD" w:rsidRDefault="00D56D4F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نسبة </w:t>
            </w: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الأهمية النسبية  </w:t>
            </w:r>
          </w:p>
        </w:tc>
      </w:tr>
      <w:tr w:rsidR="00D56D4F" w:rsidRPr="00BB7F69" w:rsidTr="001943DD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 تعويضات الموظفين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38,550,630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10,712,086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72%</w:t>
            </w:r>
          </w:p>
        </w:tc>
      </w:tr>
      <w:tr w:rsidR="00D56D4F" w:rsidRPr="00BB7F69" w:rsidTr="001943DD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الرعاية الاجتماعية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19,624,201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2,565,183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</w:tr>
      <w:tr w:rsidR="00D56D4F" w:rsidRPr="00BB7F69" w:rsidTr="001943DD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المنح والاعانات وخدمة الدين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12,343,115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1,080,622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</w:tr>
      <w:tr w:rsidR="00D56D4F" w:rsidRPr="00BB7F69" w:rsidTr="001943DD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المستلزمات السلعية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4,750,015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227,715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D56D4F" w:rsidRPr="00BB7F69" w:rsidTr="001943DD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المستلزمات الخدمية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963,556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142,585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D56D4F" w:rsidRPr="00BB7F69" w:rsidTr="001943DD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صيانة الموجودات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723,818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53,208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0.4%</w:t>
            </w:r>
          </w:p>
        </w:tc>
      </w:tr>
      <w:tr w:rsidR="00D56D4F" w:rsidRPr="00BB7F69" w:rsidTr="001943DD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النفقات الرأسمالية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499,465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17,577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</w:tr>
      <w:tr w:rsidR="00D56D4F" w:rsidRPr="00BB7F69" w:rsidTr="001943DD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الالتزامات والمساهمات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595,128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5,855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0.04%</w:t>
            </w:r>
          </w:p>
        </w:tc>
      </w:tr>
      <w:tr w:rsidR="00D56D4F" w:rsidRPr="00BB7F69" w:rsidTr="001943DD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البرامج الخاصة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198,464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127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1943DD" w:rsidRDefault="00D56D4F" w:rsidP="00BB7F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43DD">
              <w:rPr>
                <w:rFonts w:ascii="Arial" w:eastAsia="Times New Roman" w:hAnsi="Arial" w:cs="Arial"/>
                <w:b/>
                <w:bCs/>
                <w:color w:val="000000"/>
              </w:rPr>
              <w:t>0.001%</w:t>
            </w:r>
          </w:p>
        </w:tc>
      </w:tr>
    </w:tbl>
    <w:p w:rsidR="00BB7F69" w:rsidRDefault="00BB7F69">
      <w:pPr>
        <w:rPr>
          <w:rtl/>
          <w:lang w:bidi="ar-IQ"/>
        </w:rPr>
      </w:pPr>
      <w:bookmarkStart w:id="0" w:name="_GoBack"/>
      <w:bookmarkEnd w:id="0"/>
    </w:p>
    <w:p w:rsidR="008821EA" w:rsidRDefault="00BB7F69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002B172A" wp14:editId="77C3BEBE">
            <wp:extent cx="6813494" cy="2605635"/>
            <wp:effectExtent l="0" t="0" r="6985" b="444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6D4F" w:rsidRDefault="00D56D4F">
      <w:pPr>
        <w:rPr>
          <w:rtl/>
          <w:lang w:bidi="ar-IQ"/>
        </w:rPr>
      </w:pPr>
    </w:p>
    <w:tbl>
      <w:tblPr>
        <w:bidiVisual/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461"/>
        <w:gridCol w:w="1984"/>
        <w:gridCol w:w="1701"/>
        <w:gridCol w:w="1701"/>
      </w:tblGrid>
      <w:tr w:rsidR="00AE4134" w:rsidRPr="00AE4134" w:rsidTr="00D56D4F">
        <w:trPr>
          <w:trHeight w:val="20"/>
        </w:trPr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E4134" w:rsidRPr="00825788" w:rsidRDefault="00AE4134" w:rsidP="00D56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>جدول يوضح نسبة الأنفاق الفعلي حسب التصنيف الأقتصادي</w:t>
            </w:r>
          </w:p>
        </w:tc>
      </w:tr>
      <w:tr w:rsidR="00D56D4F" w:rsidRPr="00AE4134" w:rsidTr="00825788">
        <w:trPr>
          <w:trHeight w:val="2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6D4F" w:rsidRPr="00825788" w:rsidRDefault="00D56D4F" w:rsidP="00AE4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6D4F" w:rsidRPr="00825788" w:rsidRDefault="00796D5C" w:rsidP="00AE4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المصدق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6D4F" w:rsidRPr="00825788" w:rsidRDefault="00D56D4F" w:rsidP="00AE4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56D4F" w:rsidRPr="00825788" w:rsidRDefault="00D56D4F" w:rsidP="00AE4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الأنفاق الفعلي </w:t>
            </w:r>
          </w:p>
        </w:tc>
      </w:tr>
      <w:tr w:rsidR="00D56D4F" w:rsidRPr="00AE4134" w:rsidTr="00825788">
        <w:trPr>
          <w:trHeight w:val="2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 تعويضات الموظفين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38,550,630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10,712,086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28%</w:t>
            </w:r>
          </w:p>
        </w:tc>
      </w:tr>
      <w:tr w:rsidR="00D56D4F" w:rsidRPr="00AE4134" w:rsidTr="00825788">
        <w:trPr>
          <w:trHeight w:val="2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المستلزمات الخدمية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963,556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142,585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15%</w:t>
            </w:r>
          </w:p>
        </w:tc>
      </w:tr>
      <w:tr w:rsidR="00D56D4F" w:rsidRPr="00AE4134" w:rsidTr="00825788">
        <w:trPr>
          <w:trHeight w:val="2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الرعاية الاجتماعية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19,624,201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2,565,183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13%</w:t>
            </w:r>
          </w:p>
        </w:tc>
      </w:tr>
      <w:tr w:rsidR="00D56D4F" w:rsidRPr="00AE4134" w:rsidTr="00825788">
        <w:trPr>
          <w:trHeight w:val="2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المنح والاعانات وخدمة الدين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12,343,115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1,080,622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9%</w:t>
            </w:r>
          </w:p>
        </w:tc>
      </w:tr>
      <w:tr w:rsidR="00D56D4F" w:rsidRPr="00AE4134" w:rsidTr="00825788">
        <w:trPr>
          <w:trHeight w:val="2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صيانة الموجودات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723,818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53,208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</w:tr>
      <w:tr w:rsidR="00D56D4F" w:rsidRPr="00AE4134" w:rsidTr="00825788">
        <w:trPr>
          <w:trHeight w:val="2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المستلزمات السلعية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4,750,015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227,715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D56D4F" w:rsidRPr="00AE4134" w:rsidTr="00825788">
        <w:trPr>
          <w:trHeight w:val="2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النفقات الرأسمالية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499,465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17,577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</w:tr>
      <w:tr w:rsidR="00D56D4F" w:rsidRPr="00AE4134" w:rsidTr="00825788">
        <w:trPr>
          <w:trHeight w:val="2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الالتزامات والمساهمات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595,128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5,855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D56D4F" w:rsidRPr="00AE4134" w:rsidTr="00825788">
        <w:trPr>
          <w:trHeight w:val="2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البرامج الخاصة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198,464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D56D4F" w:rsidRPr="00825788" w:rsidRDefault="00D56D4F" w:rsidP="00AE413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</w:tr>
    </w:tbl>
    <w:p w:rsidR="00AE4134" w:rsidRDefault="00AE4134">
      <w:pPr>
        <w:rPr>
          <w:rtl/>
          <w:lang w:bidi="ar-IQ"/>
        </w:rPr>
      </w:pPr>
    </w:p>
    <w:p w:rsidR="00BB7F69" w:rsidRDefault="00BB7F69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3BCBA66B" wp14:editId="2F8A78E6">
            <wp:extent cx="7226188" cy="2759384"/>
            <wp:effectExtent l="0" t="0" r="0" b="317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6D4F" w:rsidRDefault="00D56D4F">
      <w:pPr>
        <w:rPr>
          <w:rtl/>
          <w:lang w:bidi="ar-IQ"/>
        </w:rPr>
      </w:pPr>
    </w:p>
    <w:tbl>
      <w:tblPr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2676"/>
        <w:gridCol w:w="1318"/>
        <w:gridCol w:w="1195"/>
        <w:gridCol w:w="1435"/>
        <w:gridCol w:w="2575"/>
        <w:gridCol w:w="1441"/>
        <w:gridCol w:w="2001"/>
      </w:tblGrid>
      <w:tr w:rsidR="00BB7F69" w:rsidRPr="00825788" w:rsidTr="00825788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B7F69" w:rsidRPr="00825788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 xml:space="preserve">ملخص تنفيذ الموازنه حسب التصنيف الأداري مع السلف والألتزامات </w:t>
            </w:r>
            <w:r w:rsidR="00825788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(الجزء الأول)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BB7F69" w:rsidRPr="00825788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اسماء الوزارات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BB7F69" w:rsidRPr="00825788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BB7F69" w:rsidRPr="00825788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BB7F69" w:rsidRPr="00825788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والألتزامات 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BB7F69" w:rsidRPr="00825788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BB7F69" w:rsidRPr="00825788" w:rsidRDefault="00BB7F69" w:rsidP="005B3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</w:t>
            </w:r>
            <w:r w:rsidR="005B3C8B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للأنفاق الفعلي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BB7F69" w:rsidRPr="00825788" w:rsidRDefault="005B3C8B" w:rsidP="00D56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أ</w:t>
            </w:r>
            <w:r w:rsidR="00BB7F69"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نفاق </w:t>
            </w:r>
            <w:r w:rsidR="00D56D4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الأجمالي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النفط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999,593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9,819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713,780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723,599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72%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وزارةالدفاع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5,057,537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1,740,734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21,086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1,761,819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34%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35%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مجلس الوزراء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3,722,400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589,314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614,232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1,203,546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16%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32%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التربية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7,272,791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2,212,710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332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2,213,041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30%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العلوم والتكنولوجيا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144,455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43,335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401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43,736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30%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التخطيط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43,039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12,746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168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12,913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30%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العدل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452,113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131,921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1,607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133,528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29%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30%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التعليم العالي والبحث العلمي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2,589,664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651,675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70,371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722,046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25%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28%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الصناعة والمعادن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46,928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12,745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155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12,900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27%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27%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مجلس القضاء الاعلى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390,074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106,305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425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106,730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27%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27%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الصحة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5,077,292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913,138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461,756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1,374,894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18%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27%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الداخلية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11,052,559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2,996,582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5,094-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2,991,488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27%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27%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الموارد المائية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232,308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61,755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445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62,199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27%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27%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الشباب والرياضة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95,816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24,109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1,223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25,332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25%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26%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الثقافة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96,982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23,351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2,219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25,570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24%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26%</w:t>
            </w:r>
          </w:p>
        </w:tc>
      </w:tr>
      <w:tr w:rsidR="00BB7F69" w:rsidRPr="00825788" w:rsidTr="0082578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الاتصالات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15,941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4,101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2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4,130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26%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26%</w:t>
            </w:r>
          </w:p>
        </w:tc>
      </w:tr>
    </w:tbl>
    <w:p w:rsidR="00BB7F69" w:rsidRPr="00825788" w:rsidRDefault="00BB7F69">
      <w:pPr>
        <w:rPr>
          <w:noProof/>
          <w:rtl/>
          <w:lang w:bidi="ar-IQ"/>
        </w:rPr>
      </w:pPr>
    </w:p>
    <w:p w:rsidR="00BB7F69" w:rsidRDefault="00BB7F69">
      <w:pPr>
        <w:rPr>
          <w:noProof/>
          <w:rtl/>
        </w:rPr>
      </w:pPr>
    </w:p>
    <w:p w:rsidR="00BB7F69" w:rsidRDefault="00BB7F69">
      <w:pPr>
        <w:rPr>
          <w:noProof/>
          <w:rtl/>
          <w:lang w:bidi="ar-IQ"/>
        </w:rPr>
      </w:pPr>
    </w:p>
    <w:p w:rsidR="00BB7F69" w:rsidRDefault="00BB7F69">
      <w:pPr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091D2256" wp14:editId="692721DE">
            <wp:extent cx="8108220" cy="5097982"/>
            <wp:effectExtent l="0" t="0" r="7620" b="762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2513"/>
        <w:gridCol w:w="1318"/>
        <w:gridCol w:w="1195"/>
        <w:gridCol w:w="1454"/>
        <w:gridCol w:w="2509"/>
        <w:gridCol w:w="1631"/>
        <w:gridCol w:w="2021"/>
      </w:tblGrid>
      <w:tr w:rsidR="00BB7F69" w:rsidRPr="00BB7F69" w:rsidTr="00825788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B7F69" w:rsidRPr="00825788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 xml:space="preserve">ملخص تنفيذ الموازنه حسب التصنيف الأداري مع السلف والألتزامات </w:t>
            </w:r>
            <w:r w:rsidR="00825788" w:rsidRPr="00825788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(الجزء الثاني)</w:t>
            </w:r>
          </w:p>
        </w:tc>
      </w:tr>
      <w:tr w:rsidR="00BB7F69" w:rsidRPr="00BB7F69" w:rsidTr="005B3C8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BB7F69" w:rsidRPr="00825788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اسماء الوزارات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BB7F69" w:rsidRPr="00825788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BB7F69" w:rsidRPr="00825788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BB7F69" w:rsidRPr="00825788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والألتزامات 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BB7F69" w:rsidRPr="00825788" w:rsidRDefault="00BB7F69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BB7F69" w:rsidRPr="00825788" w:rsidRDefault="00BB7F69" w:rsidP="005B3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</w:t>
            </w:r>
            <w:r w:rsidR="005B3C8B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للأنفاق الفعلي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BB7F69" w:rsidRPr="00825788" w:rsidRDefault="005B3C8B" w:rsidP="00BB7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أ</w:t>
            </w:r>
            <w:r w:rsidR="00D56D4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نفاق ا</w:t>
            </w:r>
            <w:r w:rsidR="00D56D4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لأجمالي</w:t>
            </w:r>
            <w:r w:rsidR="00BB7F69"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حقوق الانسان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16,915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4,243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4,300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25%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25%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النقل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132,116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32,014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1,535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33,549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24%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25%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رئاسة الجمهورية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84,100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19,596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1,412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21,008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23%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25%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مجلس النواب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643,230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153,236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1,951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155,187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24%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24%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دوائر غير مرتبطة بوزارة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763,009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161,070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12,093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173,163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23%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البيئة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59,698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12,504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863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13,367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22%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البلديات والاشغال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741,769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92,835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70,264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163,099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13%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22%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وزارةالعمل والشوؤن الاجتماعية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1,547,621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334,825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765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335,590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22%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22%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السياحة والاثار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85,283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17,830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303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18,133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21%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التجارة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4,314,024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624,855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153,487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778,343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14%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18%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الزراعة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808,788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88,458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50,612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139,070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الخارجية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415,734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47,908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23,425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71,333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12%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الاعمار والاسكان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219,322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36,001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1,478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37,479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16%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حكومة اقليم كردستان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9,296,560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1,268,123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1,268,169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14%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14%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17,335,830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2,206,244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500,132-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1,706,112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13%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10%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الكهرباء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1,910,117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66,917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14,553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81,470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</w:tr>
      <w:tr w:rsidR="00BB7F69" w:rsidRPr="00BA7E18" w:rsidTr="005B3C8B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B7F69" w:rsidRPr="00825788" w:rsidRDefault="00BB7F69" w:rsidP="00BA7E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المهجرين والمهاجرين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2,584,784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103,961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136</w:t>
            </w:r>
          </w:p>
        </w:tc>
        <w:tc>
          <w:tcPr>
            <w:tcW w:w="2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104,097</w:t>
            </w:r>
          </w:p>
        </w:tc>
        <w:tc>
          <w:tcPr>
            <w:tcW w:w="1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BB7F69" w:rsidRPr="00825788" w:rsidRDefault="00BB7F69" w:rsidP="00BA7E1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5788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</w:tr>
    </w:tbl>
    <w:p w:rsidR="00BB7F69" w:rsidRPr="00BA7E18" w:rsidRDefault="00BB7F69">
      <w:pPr>
        <w:rPr>
          <w:rtl/>
          <w:lang w:bidi="ar-IQ"/>
        </w:rPr>
      </w:pPr>
    </w:p>
    <w:p w:rsidR="00BB7F69" w:rsidRDefault="00BB7F69">
      <w:pPr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076163EB" wp14:editId="00BF7F34">
            <wp:extent cx="7727894" cy="4677196"/>
            <wp:effectExtent l="0" t="0" r="698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5B7F" w:rsidRDefault="00775B7F">
      <w:pPr>
        <w:rPr>
          <w:rtl/>
          <w:lang w:bidi="ar-IQ"/>
        </w:rPr>
      </w:pPr>
    </w:p>
    <w:sectPr w:rsidR="00775B7F" w:rsidSect="00DB19B9">
      <w:footerReference w:type="default" r:id="rId14"/>
      <w:pgSz w:w="16838" w:h="11906" w:orient="landscape" w:code="9"/>
      <w:pgMar w:top="1440" w:right="2160" w:bottom="2160" w:left="2160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CB" w:rsidRDefault="00C71FCB" w:rsidP="00A332E8">
      <w:pPr>
        <w:spacing w:after="0" w:line="240" w:lineRule="auto"/>
      </w:pPr>
      <w:r>
        <w:separator/>
      </w:r>
    </w:p>
  </w:endnote>
  <w:endnote w:type="continuationSeparator" w:id="0">
    <w:p w:rsidR="00C71FCB" w:rsidRDefault="00C71FCB" w:rsidP="00A3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38088181"/>
      <w:docPartObj>
        <w:docPartGallery w:val="Page Numbers (Bottom of Page)"/>
        <w:docPartUnique/>
      </w:docPartObj>
    </w:sdtPr>
    <w:sdtEndPr/>
    <w:sdtContent>
      <w:p w:rsidR="00BB7F69" w:rsidRDefault="00BB7F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50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B7F69" w:rsidRDefault="00BB7F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CB" w:rsidRDefault="00C71FCB" w:rsidP="00A332E8">
      <w:pPr>
        <w:spacing w:after="0" w:line="240" w:lineRule="auto"/>
      </w:pPr>
      <w:r>
        <w:separator/>
      </w:r>
    </w:p>
  </w:footnote>
  <w:footnote w:type="continuationSeparator" w:id="0">
    <w:p w:rsidR="00C71FCB" w:rsidRDefault="00C71FCB" w:rsidP="00A33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2319A"/>
    <w:rsid w:val="000A703F"/>
    <w:rsid w:val="000C2FC4"/>
    <w:rsid w:val="00133357"/>
    <w:rsid w:val="001943DD"/>
    <w:rsid w:val="00221730"/>
    <w:rsid w:val="002476AF"/>
    <w:rsid w:val="002572ED"/>
    <w:rsid w:val="00273189"/>
    <w:rsid w:val="0039618B"/>
    <w:rsid w:val="003D4FDE"/>
    <w:rsid w:val="00422227"/>
    <w:rsid w:val="004D476F"/>
    <w:rsid w:val="0052793A"/>
    <w:rsid w:val="005315FB"/>
    <w:rsid w:val="00534B02"/>
    <w:rsid w:val="00552B9F"/>
    <w:rsid w:val="00553033"/>
    <w:rsid w:val="00586D89"/>
    <w:rsid w:val="005B3C8B"/>
    <w:rsid w:val="005F4132"/>
    <w:rsid w:val="00605F63"/>
    <w:rsid w:val="00641244"/>
    <w:rsid w:val="00643CCC"/>
    <w:rsid w:val="00775B7F"/>
    <w:rsid w:val="0077718E"/>
    <w:rsid w:val="00796D5C"/>
    <w:rsid w:val="00815E53"/>
    <w:rsid w:val="00825788"/>
    <w:rsid w:val="008821EA"/>
    <w:rsid w:val="008F7C11"/>
    <w:rsid w:val="0090285D"/>
    <w:rsid w:val="00960962"/>
    <w:rsid w:val="00963C55"/>
    <w:rsid w:val="00972BEB"/>
    <w:rsid w:val="00986482"/>
    <w:rsid w:val="009E571C"/>
    <w:rsid w:val="00A332E8"/>
    <w:rsid w:val="00A57B43"/>
    <w:rsid w:val="00AA4E4A"/>
    <w:rsid w:val="00AC4511"/>
    <w:rsid w:val="00AE4134"/>
    <w:rsid w:val="00B2593A"/>
    <w:rsid w:val="00B444BB"/>
    <w:rsid w:val="00B611D5"/>
    <w:rsid w:val="00B77FCB"/>
    <w:rsid w:val="00B85777"/>
    <w:rsid w:val="00BA7E18"/>
    <w:rsid w:val="00BB7F69"/>
    <w:rsid w:val="00BD0020"/>
    <w:rsid w:val="00BE26EA"/>
    <w:rsid w:val="00C04897"/>
    <w:rsid w:val="00C71FCB"/>
    <w:rsid w:val="00CA3959"/>
    <w:rsid w:val="00CB518E"/>
    <w:rsid w:val="00CE4BA1"/>
    <w:rsid w:val="00D353F1"/>
    <w:rsid w:val="00D56D4F"/>
    <w:rsid w:val="00DB19B9"/>
    <w:rsid w:val="00DB4564"/>
    <w:rsid w:val="00DF550C"/>
    <w:rsid w:val="00E01844"/>
    <w:rsid w:val="00EA63B4"/>
    <w:rsid w:val="00EB54E0"/>
    <w:rsid w:val="00EE6E7F"/>
    <w:rsid w:val="00F00E76"/>
    <w:rsid w:val="00F12553"/>
    <w:rsid w:val="00F24A81"/>
    <w:rsid w:val="00F60C81"/>
    <w:rsid w:val="00F61E55"/>
    <w:rsid w:val="00FA4FD5"/>
    <w:rsid w:val="00FB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606;&#1610;&#1587;&#1575;&#1606;\&#1578;&#1602;&#1585;&#1610;&#1585;%20&#1578;&#1606;&#1601;&#1610;&#1584;%20&#1575;&#1604;&#1605;&#1608;&#1575;&#1586;&#1606;&#1577;%20&#1604;&#1594;&#1575;&#1610;&#1577;%20&#1606;&#1610;&#1587;&#1575;&#1606;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606;&#1610;&#1587;&#1575;&#1606;\&#1578;&#1602;&#1585;&#1610;&#1585;%20&#1578;&#1606;&#1601;&#1610;&#1584;%20&#1575;&#1604;&#1605;&#1608;&#1575;&#1586;&#1606;&#1577;%20&#1604;&#1594;&#1575;&#1610;&#1577;%20&#1606;&#1610;&#1587;&#1575;&#1606;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606;&#1610;&#1587;&#1575;&#1606;\&#1578;&#1602;&#1585;&#1610;&#1585;%20&#1578;&#1606;&#1601;&#1610;&#1584;%20&#1575;&#1604;&#1605;&#1608;&#1575;&#1586;&#1606;&#1577;%20&#1604;&#1594;&#1575;&#1610;&#1577;%20&#1606;&#1610;&#1587;&#1575;&#1606;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606;&#1610;&#1587;&#1575;&#1606;\&#1578;&#1602;&#1585;&#1610;&#1585;%20&#1578;&#1606;&#1601;&#1610;&#1584;%20&#1575;&#1604;&#1605;&#1608;&#1575;&#1586;&#1606;&#1577;%20&#1604;&#1594;&#1575;&#1610;&#1577;%20&#1606;&#1610;&#1587;&#1575;&#1606;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606;&#1610;&#1587;&#1575;&#1606;\&#1578;&#1602;&#1585;&#1610;&#1585;%20&#1578;&#1606;&#1601;&#1610;&#1584;%20&#1575;&#1604;&#1605;&#1608;&#1575;&#1586;&#1606;&#1577;%20&#1604;&#1594;&#1575;&#1610;&#1577;%20&#1606;&#1610;&#1587;&#1575;&#1606;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606;&#1610;&#1587;&#1575;&#1606;\&#1578;&#1602;&#1585;&#1610;&#1585;%20&#1578;&#1606;&#1601;&#1610;&#1584;%20&#1575;&#1604;&#1605;&#1608;&#1575;&#1586;&#1606;&#1577;%20&#1604;&#1594;&#1575;&#1610;&#1577;%20&#1606;&#1610;&#1587;&#1575;&#1606;%20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606;&#1610;&#1587;&#1575;&#1606;\&#1578;&#1602;&#1585;&#1610;&#1585;%20&#1578;&#1606;&#1601;&#1610;&#1584;%20&#1575;&#1604;&#1605;&#1608;&#1575;&#1586;&#1606;&#1577;%20&#1604;&#1594;&#1575;&#1610;&#1577;%20&#1606;&#1610;&#1587;&#1575;&#1606;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الأنفاق العام مقارنه بالأعتمادات المصدقه </a:t>
            </a:r>
            <a:endParaRPr lang="en-US" sz="1200"/>
          </a:p>
        </c:rich>
      </c:tx>
      <c:layout>
        <c:manualLayout>
          <c:xMode val="edge"/>
          <c:yMode val="edge"/>
          <c:x val="0.47752658747217186"/>
          <c:y val="5.9612408209209093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0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0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alpha val="98000"/>
                  </a:schemeClr>
                </a:solidFill>
              </a:ln>
            </c:spPr>
            <c:txPr>
              <a:bodyPr/>
              <a:lstStyle/>
              <a:p>
                <a:pPr>
                  <a:defRPr sz="1000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عمل'!$A$28:$A$29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عمل'!$B$28:$B$29</c:f>
              <c:numCache>
                <c:formatCode>_-* #,##0_-;_-* #,##0\-;_-* "-"??_-;_-@_-</c:formatCode>
                <c:ptCount val="2"/>
                <c:pt idx="0">
                  <c:v>78248392</c:v>
                </c:pt>
                <c:pt idx="1">
                  <c:v>16523173.436157651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1875456"/>
        <c:axId val="141877248"/>
        <c:axId val="0"/>
      </c:bar3DChart>
      <c:catAx>
        <c:axId val="1418754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41877248"/>
        <c:crosses val="autoZero"/>
        <c:auto val="1"/>
        <c:lblAlgn val="ctr"/>
        <c:lblOffset val="100"/>
        <c:noMultiLvlLbl val="0"/>
      </c:catAx>
      <c:valAx>
        <c:axId val="141877248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41875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200"/>
          </a:p>
        </c:rich>
      </c:tx>
      <c:layout>
        <c:manualLayout>
          <c:xMode val="edge"/>
          <c:yMode val="edge"/>
          <c:x val="0.55496248108731794"/>
          <c:y val="5.4443235661430257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-8.1914890643620987E-3"/>
                  <c:y val="-3.763747309315802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lumMod val="20000"/>
                    <a:lumOff val="80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عمل'!$A$4:$A$7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عمل'!$B$4:$B$7</c:f>
              <c:numCache>
                <c:formatCode>_-* #,##0_-;_-* #,##0\-;_-* "-"??_-;_-@_-</c:formatCode>
                <c:ptCount val="4"/>
                <c:pt idx="0">
                  <c:v>19004298.072329119</c:v>
                </c:pt>
                <c:pt idx="1">
                  <c:v>14804957.520688917</c:v>
                </c:pt>
                <c:pt idx="2">
                  <c:v>1718215.9154687347</c:v>
                </c:pt>
                <c:pt idx="3">
                  <c:v>16523173.436157651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106112"/>
        <c:axId val="130107648"/>
        <c:axId val="0"/>
      </c:bar3DChart>
      <c:catAx>
        <c:axId val="1301061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30107648"/>
        <c:crosses val="autoZero"/>
        <c:auto val="1"/>
        <c:lblAlgn val="ctr"/>
        <c:lblOffset val="100"/>
        <c:noMultiLvlLbl val="0"/>
      </c:catAx>
      <c:valAx>
        <c:axId val="130107648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30106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للأيرادات</a:t>
            </a:r>
            <a:endParaRPr lang="en-US" sz="1200"/>
          </a:p>
        </c:rich>
      </c:tx>
      <c:layout>
        <c:manualLayout>
          <c:xMode val="edge"/>
          <c:yMode val="edge"/>
          <c:x val="0.60881246986983772"/>
          <c:y val="6.182196956322164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عمل'!$C$13</c:f>
              <c:strCache>
                <c:ptCount val="1"/>
                <c:pt idx="0">
                  <c:v>نسبة الأهمية النسبية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عمل'!$A$14:$A$21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الايرادات التحويلية</c:v>
                </c:pt>
                <c:pt idx="2">
                  <c:v> حصة الموازنة من ارباح القطاع العام</c:v>
                </c:pt>
                <c:pt idx="3">
                  <c:v> الضرائب على الدخول والثروات</c:v>
                </c:pt>
                <c:pt idx="4">
                  <c:v> الرسوم</c:v>
                </c:pt>
                <c:pt idx="5">
                  <c:v> ايرادات اخرى</c:v>
                </c:pt>
                <c:pt idx="6">
                  <c:v> الضرائب السلعية ورسوم الانتاج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عمل'!$C$14:$C$21</c:f>
              <c:numCache>
                <c:formatCode>0%</c:formatCode>
                <c:ptCount val="8"/>
                <c:pt idx="0">
                  <c:v>0.90766090187350701</c:v>
                </c:pt>
                <c:pt idx="1">
                  <c:v>2.4252977810660437E-2</c:v>
                </c:pt>
                <c:pt idx="2">
                  <c:v>2.0712928006121623E-2</c:v>
                </c:pt>
                <c:pt idx="3">
                  <c:v>1.6098648922108088E-2</c:v>
                </c:pt>
                <c:pt idx="4">
                  <c:v>1.0448389016817891E-2</c:v>
                </c:pt>
                <c:pt idx="5">
                  <c:v>9.7670887393322865E-3</c:v>
                </c:pt>
                <c:pt idx="6">
                  <c:v>8.5897625925309123E-3</c:v>
                </c:pt>
                <c:pt idx="7" formatCode="0.0%">
                  <c:v>2.4693030389216419E-3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128512"/>
        <c:axId val="141861248"/>
        <c:axId val="0"/>
      </c:bar3DChart>
      <c:catAx>
        <c:axId val="130128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41861248"/>
        <c:crosses val="autoZero"/>
        <c:auto val="1"/>
        <c:lblAlgn val="ctr"/>
        <c:lblOffset val="100"/>
        <c:noMultiLvlLbl val="0"/>
      </c:catAx>
      <c:valAx>
        <c:axId val="1418612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30128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للنفقات حسب التصنيف الاقتصادي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200"/>
          </a:p>
        </c:rich>
      </c:tx>
      <c:layout>
        <c:manualLayout>
          <c:xMode val="edge"/>
          <c:yMode val="edge"/>
          <c:x val="0.41693783057619244"/>
          <c:y val="8.7780594571669271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عمل'!$E$37</c:f>
              <c:strCache>
                <c:ptCount val="1"/>
                <c:pt idx="0">
                  <c:v>الأهمية النسبية 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عمل'!$A$38:$A$46</c:f>
              <c:strCache>
                <c:ptCount val="9"/>
                <c:pt idx="0">
                  <c:v>   تعويضات الموظفين</c:v>
                </c:pt>
                <c:pt idx="1">
                  <c:v>  الرعاية الاجتماعية</c:v>
                </c:pt>
                <c:pt idx="2">
                  <c:v>  المنح والاعانات وخدمة الدين</c:v>
                </c:pt>
                <c:pt idx="3">
                  <c:v>  المستلزمات السلعية</c:v>
                </c:pt>
                <c:pt idx="4">
                  <c:v>  المستلزمات الخدمية</c:v>
                </c:pt>
                <c:pt idx="5">
                  <c:v>  صيانة الموجودات</c:v>
                </c:pt>
                <c:pt idx="6">
                  <c:v>  النفقات الرأسمالية</c:v>
                </c:pt>
                <c:pt idx="7">
                  <c:v>  الالتزامات والمساهمات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عمل'!$E$38:$E$46</c:f>
              <c:numCache>
                <c:formatCode>0%</c:formatCode>
                <c:ptCount val="9"/>
                <c:pt idx="0">
                  <c:v>0.72354722290781925</c:v>
                </c:pt>
                <c:pt idx="1">
                  <c:v>0.17326515308324941</c:v>
                </c:pt>
                <c:pt idx="2">
                  <c:v>7.2990532209931361E-2</c:v>
                </c:pt>
                <c:pt idx="3">
                  <c:v>1.5381022622407614E-2</c:v>
                </c:pt>
                <c:pt idx="4">
                  <c:v>9.6308699320334229E-3</c:v>
                </c:pt>
                <c:pt idx="5" formatCode="0.0%">
                  <c:v>3.5939054145833235E-3</c:v>
                </c:pt>
                <c:pt idx="6" formatCode="0.0%">
                  <c:v>1.1872298619862638E-3</c:v>
                </c:pt>
                <c:pt idx="7" formatCode="0.00%">
                  <c:v>3.9545371025472324E-4</c:v>
                </c:pt>
                <c:pt idx="8" formatCode="0.000%">
                  <c:v>8.6102577344016755E-6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529664"/>
        <c:axId val="142531200"/>
        <c:axId val="0"/>
      </c:bar3DChart>
      <c:catAx>
        <c:axId val="142529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42531200"/>
        <c:crosses val="autoZero"/>
        <c:auto val="1"/>
        <c:lblAlgn val="ctr"/>
        <c:lblOffset val="100"/>
        <c:noMultiLvlLbl val="0"/>
      </c:catAx>
      <c:valAx>
        <c:axId val="142531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42529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الانفاق حسب التصنيف الاقتصادي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200"/>
          </a:p>
        </c:rich>
      </c:tx>
      <c:layout>
        <c:manualLayout>
          <c:xMode val="edge"/>
          <c:yMode val="edge"/>
          <c:x val="0.56006886563382052"/>
          <c:y val="9.036144359975716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عمل'!$D$52</c:f>
              <c:strCache>
                <c:ptCount val="1"/>
                <c:pt idx="0">
                  <c:v>نسبة الأنفاق الفعلي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عمل'!$A$53:$A$61</c:f>
              <c:strCache>
                <c:ptCount val="9"/>
                <c:pt idx="0">
                  <c:v>   تعويضات الموظفين</c:v>
                </c:pt>
                <c:pt idx="1">
                  <c:v>  المستلزمات الخدمية</c:v>
                </c:pt>
                <c:pt idx="2">
                  <c:v>  الرعاية الاجتماعية</c:v>
                </c:pt>
                <c:pt idx="3">
                  <c:v>  المنح والاعانات وخدمة الدين</c:v>
                </c:pt>
                <c:pt idx="4">
                  <c:v>  صيانة الموجودات</c:v>
                </c:pt>
                <c:pt idx="5">
                  <c:v>  المستلزمات السلعية</c:v>
                </c:pt>
                <c:pt idx="6">
                  <c:v>  النفقات الرأسمالية</c:v>
                </c:pt>
                <c:pt idx="7">
                  <c:v>  الالتزامات والمساهمات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عمل'!$D$53:$D$61</c:f>
              <c:numCache>
                <c:formatCode>0%</c:formatCode>
                <c:ptCount val="9"/>
                <c:pt idx="0">
                  <c:v>0.27787057953041755</c:v>
                </c:pt>
                <c:pt idx="1">
                  <c:v>0.14797751270402032</c:v>
                </c:pt>
                <c:pt idx="2">
                  <c:v>0.13071529542594729</c:v>
                </c:pt>
                <c:pt idx="3">
                  <c:v>8.7548542550280856E-2</c:v>
                </c:pt>
                <c:pt idx="4">
                  <c:v>7.3509662644863763E-2</c:v>
                </c:pt>
                <c:pt idx="5">
                  <c:v>4.7939929989589507E-2</c:v>
                </c:pt>
                <c:pt idx="6">
                  <c:v>3.5191430178290774E-2</c:v>
                </c:pt>
                <c:pt idx="7">
                  <c:v>9.8376742175128717E-3</c:v>
                </c:pt>
                <c:pt idx="8" formatCode="0.0%">
                  <c:v>6.4230540551435021E-4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313216"/>
        <c:axId val="130323200"/>
        <c:axId val="0"/>
      </c:bar3DChart>
      <c:catAx>
        <c:axId val="13031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30323200"/>
        <c:crosses val="autoZero"/>
        <c:auto val="1"/>
        <c:lblAlgn val="ctr"/>
        <c:lblOffset val="100"/>
        <c:noMultiLvlLbl val="0"/>
      </c:catAx>
      <c:valAx>
        <c:axId val="130323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30313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 (الجزء الأول)</a:t>
            </a:r>
            <a:endParaRPr lang="ar-IQ" sz="1200"/>
          </a:p>
        </c:rich>
      </c:tx>
      <c:layout>
        <c:manualLayout>
          <c:xMode val="edge"/>
          <c:yMode val="edge"/>
          <c:x val="0.56723066221686136"/>
          <c:y val="5.149986857024038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عمل'!$G$66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عمل'!$A$67:$A$82</c:f>
              <c:strCache>
                <c:ptCount val="16"/>
                <c:pt idx="0">
                  <c:v> وزارة النفط</c:v>
                </c:pt>
                <c:pt idx="1">
                  <c:v> وزارةالدفاع</c:v>
                </c:pt>
                <c:pt idx="2">
                  <c:v> مجلس الوزراء</c:v>
                </c:pt>
                <c:pt idx="3">
                  <c:v> وزارة التربية</c:v>
                </c:pt>
                <c:pt idx="4">
                  <c:v> وزارة العلوم والتكنولوجيا</c:v>
                </c:pt>
                <c:pt idx="5">
                  <c:v> وزارة التخطيط</c:v>
                </c:pt>
                <c:pt idx="6">
                  <c:v> وزارة العدل</c:v>
                </c:pt>
                <c:pt idx="7">
                  <c:v> وزارة التعليم العالي والبحث العلمي</c:v>
                </c:pt>
                <c:pt idx="8">
                  <c:v> وزارة الصناعة والمعادن</c:v>
                </c:pt>
                <c:pt idx="9">
                  <c:v> مجلس القضاء الاعلى</c:v>
                </c:pt>
                <c:pt idx="10">
                  <c:v> وزارة الصحة</c:v>
                </c:pt>
                <c:pt idx="11">
                  <c:v> وزارة الداخلية</c:v>
                </c:pt>
                <c:pt idx="12">
                  <c:v> وزارة الموارد المائية</c:v>
                </c:pt>
                <c:pt idx="13">
                  <c:v> وزارة الشباب والرياضة</c:v>
                </c:pt>
                <c:pt idx="14">
                  <c:v> وزارة الثقافة</c:v>
                </c:pt>
                <c:pt idx="15">
                  <c:v> وزارة الاتصالات</c:v>
                </c:pt>
              </c:strCache>
            </c:strRef>
          </c:cat>
          <c:val>
            <c:numRef>
              <c:f>'ورقه عمل'!$G$67:$G$82</c:f>
              <c:numCache>
                <c:formatCode>0%</c:formatCode>
                <c:ptCount val="16"/>
                <c:pt idx="0">
                  <c:v>0.72389355355704477</c:v>
                </c:pt>
                <c:pt idx="1">
                  <c:v>0.34835520280227311</c:v>
                </c:pt>
                <c:pt idx="2">
                  <c:v>0.3233253184020014</c:v>
                </c:pt>
                <c:pt idx="3">
                  <c:v>0.30429050287898329</c:v>
                </c:pt>
                <c:pt idx="4">
                  <c:v>0.30276649961690494</c:v>
                </c:pt>
                <c:pt idx="5">
                  <c:v>0.300041693460954</c:v>
                </c:pt>
                <c:pt idx="6">
                  <c:v>0.29534125689152929</c:v>
                </c:pt>
                <c:pt idx="7">
                  <c:v>0.27881850258846785</c:v>
                </c:pt>
                <c:pt idx="8">
                  <c:v>0.27488754916041597</c:v>
                </c:pt>
                <c:pt idx="9">
                  <c:v>0.27361421598209573</c:v>
                </c:pt>
                <c:pt idx="10">
                  <c:v>0.27079268776825915</c:v>
                </c:pt>
                <c:pt idx="11">
                  <c:v>0.27066019372201494</c:v>
                </c:pt>
                <c:pt idx="12">
                  <c:v>0.26774575052946947</c:v>
                </c:pt>
                <c:pt idx="13">
                  <c:v>0.26438104368790183</c:v>
                </c:pt>
                <c:pt idx="14">
                  <c:v>0.26365428028912585</c:v>
                </c:pt>
                <c:pt idx="15">
                  <c:v>0.25906592999184491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348160"/>
        <c:axId val="130349696"/>
        <c:axId val="0"/>
      </c:bar3DChart>
      <c:catAx>
        <c:axId val="130348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30349696"/>
        <c:crosses val="autoZero"/>
        <c:auto val="1"/>
        <c:lblAlgn val="ctr"/>
        <c:lblOffset val="100"/>
        <c:noMultiLvlLbl val="0"/>
      </c:catAx>
      <c:valAx>
        <c:axId val="1303496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30348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(الجزء الثاني) </a:t>
            </a:r>
            <a:endParaRPr lang="ar-IQ" sz="1200"/>
          </a:p>
        </c:rich>
      </c:tx>
      <c:layout>
        <c:manualLayout>
          <c:xMode val="edge"/>
          <c:yMode val="edge"/>
          <c:x val="0.54993422683040616"/>
          <c:y val="5.1595383570943655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عمل'!$G$66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05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عمل'!$A$83:$A$99</c:f>
              <c:strCache>
                <c:ptCount val="17"/>
                <c:pt idx="0">
                  <c:v> وزارة حقوق الانسان</c:v>
                </c:pt>
                <c:pt idx="1">
                  <c:v> وزارة النقل</c:v>
                </c:pt>
                <c:pt idx="2">
                  <c:v> رئاسة الجمهورية</c:v>
                </c:pt>
                <c:pt idx="3">
                  <c:v>مجلس النواب</c:v>
                </c:pt>
                <c:pt idx="4">
                  <c:v> دوائر غير مرتبطة بوزارة</c:v>
                </c:pt>
                <c:pt idx="5">
                  <c:v> وزارة البيئة</c:v>
                </c:pt>
                <c:pt idx="6">
                  <c:v> وزارة البلديات والاشغال</c:v>
                </c:pt>
                <c:pt idx="7">
                  <c:v> وزارةالعمل والشوؤن الاجتماعية</c:v>
                </c:pt>
                <c:pt idx="8">
                  <c:v>وزارة السياحة والاثار</c:v>
                </c:pt>
                <c:pt idx="9">
                  <c:v> وزارة التجارة</c:v>
                </c:pt>
                <c:pt idx="10">
                  <c:v> وزارة الزراعة</c:v>
                </c:pt>
                <c:pt idx="11">
                  <c:v> وزارة الخارجية</c:v>
                </c:pt>
                <c:pt idx="12">
                  <c:v> وزارة الاعمار والاسكان</c:v>
                </c:pt>
                <c:pt idx="13">
                  <c:v> حكومة اقليم كردستان</c:v>
                </c:pt>
                <c:pt idx="14">
                  <c:v> وزارة المالية</c:v>
                </c:pt>
                <c:pt idx="15">
                  <c:v> وزارة الكهرباء</c:v>
                </c:pt>
                <c:pt idx="16">
                  <c:v> وزارة المهجرين والمهاجرين</c:v>
                </c:pt>
              </c:strCache>
            </c:strRef>
          </c:cat>
          <c:val>
            <c:numRef>
              <c:f>'ورقه عمل'!$G$83:$G$99</c:f>
              <c:numCache>
                <c:formatCode>0%</c:formatCode>
                <c:ptCount val="17"/>
                <c:pt idx="0">
                  <c:v>0.25423712657404668</c:v>
                </c:pt>
                <c:pt idx="1">
                  <c:v>0.25393493091895003</c:v>
                </c:pt>
                <c:pt idx="2">
                  <c:v>0.24979803463733646</c:v>
                </c:pt>
                <c:pt idx="3">
                  <c:v>0.24126168567541936</c:v>
                </c:pt>
                <c:pt idx="4">
                  <c:v>0.22694723573404774</c:v>
                </c:pt>
                <c:pt idx="5">
                  <c:v>0.22390912318670644</c:v>
                </c:pt>
                <c:pt idx="6">
                  <c:v>0.21987822924252698</c:v>
                </c:pt>
                <c:pt idx="7">
                  <c:v>0.21684274462739908</c:v>
                </c:pt>
                <c:pt idx="8">
                  <c:v>0.2126193016544915</c:v>
                </c:pt>
                <c:pt idx="9">
                  <c:v>0.18042149998257914</c:v>
                </c:pt>
                <c:pt idx="10">
                  <c:v>0.17194869476108696</c:v>
                </c:pt>
                <c:pt idx="11">
                  <c:v>0.17158230341921757</c:v>
                </c:pt>
                <c:pt idx="12">
                  <c:v>0.17088755046917317</c:v>
                </c:pt>
                <c:pt idx="13">
                  <c:v>0.1364127253292616</c:v>
                </c:pt>
                <c:pt idx="14">
                  <c:v>9.8415385540934222E-2</c:v>
                </c:pt>
                <c:pt idx="15">
                  <c:v>4.265196269822738E-2</c:v>
                </c:pt>
                <c:pt idx="16">
                  <c:v>4.0272999742338236E-2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493824"/>
        <c:axId val="130524288"/>
        <c:axId val="0"/>
      </c:bar3DChart>
      <c:catAx>
        <c:axId val="130493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30524288"/>
        <c:crosses val="autoZero"/>
        <c:auto val="1"/>
        <c:lblAlgn val="ctr"/>
        <c:lblOffset val="100"/>
        <c:noMultiLvlLbl val="0"/>
      </c:catAx>
      <c:valAx>
        <c:axId val="130524288"/>
        <c:scaling>
          <c:orientation val="minMax"/>
          <c:max val="0.8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30493824"/>
        <c:crosses val="autoZero"/>
        <c:crossBetween val="between"/>
        <c:majorUnit val="0.1"/>
        <c:minorUnit val="2.0000000000000004E-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VMCDCHTSR4DK-1850682920-217</_dlc_DocId>
    <_dlc_DocIdUrl xmlns="536e90f3-28f6-43a2-9886-69104c66b47c">
      <Url>http://cms-mof/_layouts/DocIdRedir.aspx?ID=VMCDCHTSR4DK-1850682920-217</Url>
      <Description>VMCDCHTSR4DK-1850682920-217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AA326-45D2-4C36-8A5D-8F2235818A7D}"/>
</file>

<file path=customXml/itemProps2.xml><?xml version="1.0" encoding="utf-8"?>
<ds:datastoreItem xmlns:ds="http://schemas.openxmlformats.org/officeDocument/2006/customXml" ds:itemID="{278BA344-3295-4694-8110-A3A1F508520A}"/>
</file>

<file path=customXml/itemProps3.xml><?xml version="1.0" encoding="utf-8"?>
<ds:datastoreItem xmlns:ds="http://schemas.openxmlformats.org/officeDocument/2006/customXml" ds:itemID="{F2C538F9-FAA6-4F85-8BC0-2602493C4C89}"/>
</file>

<file path=customXml/itemProps4.xml><?xml version="1.0" encoding="utf-8"?>
<ds:datastoreItem xmlns:ds="http://schemas.openxmlformats.org/officeDocument/2006/customXml" ds:itemID="{268C5327-98FA-4C30-AEE3-FE6C18853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الموازنة لغاية نيسان 2015111</dc:title>
  <dc:creator>DR.Ahmed Saker 2o1O</dc:creator>
  <cp:lastModifiedBy>MOF</cp:lastModifiedBy>
  <cp:revision>10</cp:revision>
  <cp:lastPrinted>2015-05-31T07:41:00Z</cp:lastPrinted>
  <dcterms:created xsi:type="dcterms:W3CDTF">2015-08-12T07:16:00Z</dcterms:created>
  <dcterms:modified xsi:type="dcterms:W3CDTF">2015-08-13T05:46:00Z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0x010100970E9202C8529F4FB773F26894CE7BF4</vt:lpwstr>
  </property>
  <property fmtid="{D5CDD505-2E9C-101B-9397-08002B2CF9AE}" pid="3" name="_dlc_DocIdItemGuid">
    <vt:lpwstr>8dbb8122-863d-4ad5-80a2-98ebb4c72e17</vt:lpwstr>
  </property>
</Properties>
</file>