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charts/chart6.xml" ContentType="application/vnd.openxmlformats-officedocument.drawingml.chart+xml"/>
  <Override PartName="/word/theme/theme1.xml" ContentType="application/vnd.openxmlformats-officedocument.theme+xml"/>
  <Override PartName="/word/charts/chart5.xml" ContentType="application/vnd.openxmlformats-officedocument.drawingml.chart+xml"/>
  <Override PartName="/word/charts/chart4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B5" w:rsidRDefault="002F18C5" w:rsidP="00DF6AE4">
      <w:pPr>
        <w:jc w:val="center"/>
        <w:rPr>
          <w:rFonts w:ascii="Andalus" w:hAnsi="Andalus" w:cs="Andalus"/>
          <w:b/>
          <w:bCs/>
          <w:color w:val="548DD4" w:themeColor="text2" w:themeTint="99"/>
          <w:rtl/>
          <w:lang w:bidi="ar-IQ"/>
        </w:rPr>
      </w:pPr>
      <w:r w:rsidRPr="00053C87">
        <w:rPr>
          <w:rFonts w:ascii="Andalus" w:hAnsi="Andalus" w:cs="Andalus"/>
          <w:b/>
          <w:bCs/>
          <w:color w:val="548DD4" w:themeColor="text2" w:themeTint="99"/>
          <w:sz w:val="48"/>
          <w:szCs w:val="48"/>
          <w:rtl/>
          <w:lang w:bidi="ar-IQ"/>
        </w:rPr>
        <w:t xml:space="preserve">تقرير تنفيذ الموازنة لغاية </w:t>
      </w:r>
      <w:r w:rsidR="00DF6AE4">
        <w:rPr>
          <w:rFonts w:ascii="Andalus" w:hAnsi="Andalus" w:cs="Andalus" w:hint="cs"/>
          <w:b/>
          <w:bCs/>
          <w:color w:val="548DD4" w:themeColor="text2" w:themeTint="99"/>
          <w:sz w:val="48"/>
          <w:szCs w:val="48"/>
          <w:rtl/>
          <w:lang w:bidi="ar-IQ"/>
        </w:rPr>
        <w:t>كانون الأول</w:t>
      </w:r>
      <w:r w:rsidRPr="00053C87">
        <w:rPr>
          <w:rFonts w:ascii="Andalus" w:hAnsi="Andalus" w:cs="Andalus"/>
          <w:b/>
          <w:bCs/>
          <w:color w:val="548DD4" w:themeColor="text2" w:themeTint="99"/>
          <w:sz w:val="48"/>
          <w:szCs w:val="48"/>
          <w:rtl/>
          <w:lang w:bidi="ar-IQ"/>
        </w:rPr>
        <w:t xml:space="preserve"> 2016 للموازنة الجارية         </w:t>
      </w:r>
      <w:r w:rsidRPr="00DF6AE4">
        <w:rPr>
          <w:rFonts w:ascii="Andalus" w:hAnsi="Andalus" w:cs="Andalus"/>
          <w:b/>
          <w:bCs/>
          <w:color w:val="548DD4" w:themeColor="text2" w:themeTint="99"/>
          <w:sz w:val="28"/>
          <w:szCs w:val="28"/>
          <w:rtl/>
          <w:lang w:bidi="ar-IQ"/>
        </w:rPr>
        <w:t>(المبالغ بالمليون)</w:t>
      </w:r>
    </w:p>
    <w:tbl>
      <w:tblPr>
        <w:bidiVisual/>
        <w:tblW w:w="7420" w:type="dxa"/>
        <w:tblInd w:w="93" w:type="dxa"/>
        <w:tblLook w:val="04A0" w:firstRow="1" w:lastRow="0" w:firstColumn="1" w:lastColumn="0" w:noHBand="0" w:noVBand="1"/>
      </w:tblPr>
      <w:tblGrid>
        <w:gridCol w:w="4880"/>
        <w:gridCol w:w="2540"/>
      </w:tblGrid>
      <w:tr w:rsidR="00D96F24" w:rsidRPr="00D96F24" w:rsidTr="00D96F24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96F24" w:rsidRPr="00D96F24" w:rsidRDefault="00D96F24" w:rsidP="00D96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96F2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ملخص الانفاق العام</w:t>
            </w:r>
          </w:p>
        </w:tc>
      </w:tr>
      <w:tr w:rsidR="00D96F24" w:rsidRPr="00D96F24" w:rsidTr="00D96F2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96F24" w:rsidRPr="00D96F24" w:rsidRDefault="00D96F24" w:rsidP="00D96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96F2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التفاصيل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96F24" w:rsidRPr="00D96F24" w:rsidRDefault="00D96F24" w:rsidP="00D96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96F2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المبالغ</w:t>
            </w:r>
          </w:p>
        </w:tc>
      </w:tr>
      <w:tr w:rsidR="00D96F24" w:rsidRPr="00D96F24" w:rsidTr="00D96F2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96F24" w:rsidRPr="00D96F24" w:rsidRDefault="00D96F24" w:rsidP="00D96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96F2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الاعتمادات المصدقة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96F24" w:rsidRPr="00D96F24" w:rsidRDefault="00D96F24" w:rsidP="00D96F2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96F24">
              <w:rPr>
                <w:rFonts w:ascii="Arial" w:eastAsia="Times New Roman" w:hAnsi="Arial" w:cs="Arial"/>
                <w:b/>
                <w:bCs/>
                <w:color w:val="000000"/>
              </w:rPr>
              <w:t>80,149,411</w:t>
            </w:r>
          </w:p>
        </w:tc>
      </w:tr>
      <w:tr w:rsidR="00D96F24" w:rsidRPr="00D96F24" w:rsidTr="00D96F2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96F24" w:rsidRPr="00D96F24" w:rsidRDefault="00D96F24" w:rsidP="00D96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96F2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الانفاق الاجمالي (المصرف الفعلي مضافأ اليه السلف)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96F24" w:rsidRPr="00D96F24" w:rsidRDefault="00D96F24" w:rsidP="00D96F2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96F24">
              <w:rPr>
                <w:rFonts w:ascii="Arial" w:eastAsia="Times New Roman" w:hAnsi="Arial" w:cs="Arial"/>
                <w:b/>
                <w:bCs/>
                <w:color w:val="000000"/>
              </w:rPr>
              <w:t>52,312,427</w:t>
            </w:r>
          </w:p>
        </w:tc>
      </w:tr>
    </w:tbl>
    <w:p w:rsidR="004A3272" w:rsidRDefault="004A3272" w:rsidP="00D96F24">
      <w:pPr>
        <w:tabs>
          <w:tab w:val="left" w:pos="1518"/>
        </w:tabs>
        <w:rPr>
          <w:rFonts w:ascii="Andalus" w:hAnsi="Andalus" w:cs="Andalus" w:hint="cs"/>
          <w:rtl/>
          <w:lang w:bidi="ar-IQ"/>
        </w:rPr>
      </w:pPr>
    </w:p>
    <w:p w:rsidR="00D96F24" w:rsidRDefault="00D96F24" w:rsidP="00D96F24">
      <w:pPr>
        <w:tabs>
          <w:tab w:val="left" w:pos="1518"/>
        </w:tabs>
        <w:rPr>
          <w:rFonts w:ascii="Andalus" w:hAnsi="Andalus" w:cs="Andalus" w:hint="cs"/>
          <w:rtl/>
          <w:lang w:bidi="ar-IQ"/>
        </w:rPr>
      </w:pPr>
      <w:r>
        <w:rPr>
          <w:noProof/>
        </w:rPr>
        <w:drawing>
          <wp:inline distT="0" distB="0" distL="0" distR="0" wp14:anchorId="214C910F" wp14:editId="1D80CFEC">
            <wp:extent cx="8039595" cy="419199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25AD" w:rsidRDefault="005F25AD" w:rsidP="00D96F24">
      <w:pPr>
        <w:tabs>
          <w:tab w:val="left" w:pos="1518"/>
        </w:tabs>
        <w:rPr>
          <w:rFonts w:ascii="Andalus" w:hAnsi="Andalus" w:cs="Andalus" w:hint="cs"/>
          <w:rtl/>
          <w:lang w:bidi="ar-IQ"/>
        </w:rPr>
      </w:pPr>
    </w:p>
    <w:tbl>
      <w:tblPr>
        <w:tblpPr w:leftFromText="180" w:rightFromText="180" w:vertAnchor="text" w:tblpXSpec="right" w:tblpY="1"/>
        <w:tblOverlap w:val="never"/>
        <w:bidiVisual/>
        <w:tblW w:w="7420" w:type="dxa"/>
        <w:tblLook w:val="04A0" w:firstRow="1" w:lastRow="0" w:firstColumn="1" w:lastColumn="0" w:noHBand="0" w:noVBand="1"/>
      </w:tblPr>
      <w:tblGrid>
        <w:gridCol w:w="4492"/>
        <w:gridCol w:w="2928"/>
      </w:tblGrid>
      <w:tr w:rsidR="005F25AD" w:rsidRPr="005F25AD" w:rsidTr="005F25AD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الملخص التنفيذي للأيرادات والمصروفات</w:t>
            </w:r>
          </w:p>
        </w:tc>
      </w:tr>
      <w:tr w:rsidR="005F25AD" w:rsidRPr="005F25AD" w:rsidTr="005F25AD">
        <w:trPr>
          <w:trHeight w:val="300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التفاصيل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المبالغ</w:t>
            </w:r>
          </w:p>
        </w:tc>
      </w:tr>
      <w:tr w:rsidR="005F25AD" w:rsidRPr="005F25AD" w:rsidTr="005F25AD">
        <w:trPr>
          <w:trHeight w:val="300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الأيرادات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54,327,966</w:t>
            </w:r>
          </w:p>
        </w:tc>
      </w:tr>
      <w:tr w:rsidR="005F25AD" w:rsidRPr="005F25AD" w:rsidTr="005F25AD">
        <w:trPr>
          <w:trHeight w:val="300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المصروفات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51,173,425</w:t>
            </w:r>
          </w:p>
        </w:tc>
      </w:tr>
      <w:tr w:rsidR="005F25AD" w:rsidRPr="005F25AD" w:rsidTr="005F25AD">
        <w:trPr>
          <w:trHeight w:val="300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السلف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1,139,002</w:t>
            </w:r>
          </w:p>
        </w:tc>
      </w:tr>
      <w:tr w:rsidR="005F25AD" w:rsidRPr="005F25AD" w:rsidTr="005F25AD">
        <w:trPr>
          <w:trHeight w:val="300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الأنفاق الأجمالي( المصرف الفعلي مضافآ اليه السلف )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52,312,427</w:t>
            </w:r>
          </w:p>
        </w:tc>
      </w:tr>
    </w:tbl>
    <w:p w:rsidR="005F25AD" w:rsidRDefault="005F25AD" w:rsidP="00D96F24">
      <w:pPr>
        <w:tabs>
          <w:tab w:val="left" w:pos="1518"/>
        </w:tabs>
        <w:rPr>
          <w:rFonts w:ascii="Andalus" w:hAnsi="Andalus" w:cs="Andalus" w:hint="cs"/>
          <w:rtl/>
          <w:lang w:bidi="ar-IQ"/>
        </w:rPr>
      </w:pPr>
    </w:p>
    <w:p w:rsidR="005F25AD" w:rsidRDefault="005F25AD" w:rsidP="00D96F24">
      <w:pPr>
        <w:tabs>
          <w:tab w:val="left" w:pos="1518"/>
        </w:tabs>
        <w:rPr>
          <w:rFonts w:ascii="Andalus" w:hAnsi="Andalus" w:cs="Andalus" w:hint="cs"/>
          <w:rtl/>
          <w:lang w:bidi="ar-IQ"/>
        </w:rPr>
      </w:pPr>
    </w:p>
    <w:p w:rsidR="005F25AD" w:rsidRDefault="005F25AD" w:rsidP="00D96F24">
      <w:pPr>
        <w:tabs>
          <w:tab w:val="left" w:pos="1518"/>
        </w:tabs>
        <w:rPr>
          <w:rFonts w:ascii="Andalus" w:hAnsi="Andalus" w:cs="Andalus" w:hint="cs"/>
          <w:rtl/>
          <w:lang w:bidi="ar-IQ"/>
        </w:rPr>
      </w:pPr>
    </w:p>
    <w:p w:rsidR="005F25AD" w:rsidRDefault="005F25AD" w:rsidP="00D96F24">
      <w:pPr>
        <w:tabs>
          <w:tab w:val="left" w:pos="1518"/>
        </w:tabs>
        <w:rPr>
          <w:rFonts w:ascii="Andalus" w:hAnsi="Andalus" w:cs="Andalus" w:hint="cs"/>
          <w:rtl/>
          <w:lang w:bidi="ar-IQ"/>
        </w:rPr>
      </w:pPr>
    </w:p>
    <w:p w:rsidR="005F25AD" w:rsidRDefault="005F25AD" w:rsidP="00D96F24">
      <w:pPr>
        <w:tabs>
          <w:tab w:val="left" w:pos="1518"/>
        </w:tabs>
        <w:rPr>
          <w:rFonts w:ascii="Andalus" w:hAnsi="Andalus" w:cs="Andalus"/>
          <w:rtl/>
          <w:lang w:bidi="ar-IQ"/>
        </w:rPr>
      </w:pPr>
      <w:r>
        <w:rPr>
          <w:rFonts w:ascii="Andalus" w:hAnsi="Andalus" w:cs="Andalus"/>
          <w:rtl/>
          <w:lang w:bidi="ar-IQ"/>
        </w:rPr>
        <w:br w:type="textWrapping" w:clear="all"/>
      </w:r>
      <w:r>
        <w:rPr>
          <w:noProof/>
        </w:rPr>
        <w:drawing>
          <wp:inline distT="0" distB="0" distL="0" distR="0" wp14:anchorId="08905E4C" wp14:editId="101C3C7F">
            <wp:extent cx="8134598" cy="383573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F25AD" w:rsidRDefault="005F25AD" w:rsidP="005F25AD">
      <w:pPr>
        <w:rPr>
          <w:rFonts w:ascii="Andalus" w:hAnsi="Andalus" w:cs="Andalus" w:hint="cs"/>
          <w:rtl/>
          <w:lang w:bidi="ar-IQ"/>
        </w:rPr>
      </w:pPr>
    </w:p>
    <w:tbl>
      <w:tblPr>
        <w:bidiVisual/>
        <w:tblW w:w="9639" w:type="dxa"/>
        <w:tblInd w:w="-318" w:type="dxa"/>
        <w:tblLook w:val="04A0" w:firstRow="1" w:lastRow="0" w:firstColumn="1" w:lastColumn="0" w:noHBand="0" w:noVBand="1"/>
      </w:tblPr>
      <w:tblGrid>
        <w:gridCol w:w="4687"/>
        <w:gridCol w:w="3304"/>
        <w:gridCol w:w="1648"/>
      </w:tblGrid>
      <w:tr w:rsidR="005F25AD" w:rsidRPr="005F25AD" w:rsidTr="005F25AD">
        <w:trPr>
          <w:trHeight w:val="25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جدول الإيرادات حسب تصنيفها الاقتصادي</w:t>
            </w:r>
          </w:p>
        </w:tc>
      </w:tr>
      <w:tr w:rsidR="005F25AD" w:rsidRPr="005F25AD" w:rsidTr="005F25AD">
        <w:trPr>
          <w:trHeight w:val="25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الأيرادات مفروزة حسب نسبة الأهمية النسبية </w:t>
            </w:r>
          </w:p>
        </w:tc>
      </w:tr>
      <w:tr w:rsidR="005F25AD" w:rsidRPr="005F25AD" w:rsidTr="005F25AD">
        <w:trPr>
          <w:trHeight w:val="416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الأعـــــــــــــــداد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الايرادات الفعلية 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نسبة الأهمية النسبية </w:t>
            </w:r>
          </w:p>
        </w:tc>
      </w:tr>
      <w:tr w:rsidR="005F25AD" w:rsidRPr="005F25AD" w:rsidTr="005F25AD">
        <w:trPr>
          <w:trHeight w:val="257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النفطية والثروات المعدنية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44,267,063 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81%</w:t>
            </w:r>
          </w:p>
        </w:tc>
      </w:tr>
      <w:tr w:rsidR="005F25AD" w:rsidRPr="005F25AD" w:rsidTr="005F25AD">
        <w:trPr>
          <w:trHeight w:val="257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الضرائب على الدخول والثروات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3,229,504 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6%</w:t>
            </w:r>
          </w:p>
        </w:tc>
      </w:tr>
      <w:tr w:rsidR="005F25AD" w:rsidRPr="005F25AD" w:rsidTr="005F25AD">
        <w:trPr>
          <w:trHeight w:val="257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التحويلية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3,015,123 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6%</w:t>
            </w:r>
          </w:p>
        </w:tc>
      </w:tr>
      <w:tr w:rsidR="005F25AD" w:rsidRPr="005F25AD" w:rsidTr="005F25AD">
        <w:trPr>
          <w:trHeight w:val="257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ايرادات اخرى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1,793,318 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3%</w:t>
            </w:r>
          </w:p>
        </w:tc>
      </w:tr>
      <w:tr w:rsidR="005F25AD" w:rsidRPr="005F25AD" w:rsidTr="005F25AD">
        <w:trPr>
          <w:trHeight w:val="257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حصة الموازنة من ارباح القطاع العام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682,789 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1%</w:t>
            </w:r>
          </w:p>
        </w:tc>
      </w:tr>
      <w:tr w:rsidR="005F25AD" w:rsidRPr="005F25AD" w:rsidTr="005F25AD">
        <w:trPr>
          <w:trHeight w:val="257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الرسوم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668,565 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1%</w:t>
            </w:r>
          </w:p>
        </w:tc>
      </w:tr>
      <w:tr w:rsidR="005F25AD" w:rsidRPr="005F25AD" w:rsidTr="005F25AD">
        <w:trPr>
          <w:trHeight w:val="257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الضرائب السلعية ورسوم الانتاج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632,384 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1%</w:t>
            </w:r>
          </w:p>
        </w:tc>
      </w:tr>
      <w:tr w:rsidR="005F25AD" w:rsidRPr="005F25AD" w:rsidTr="005F25AD">
        <w:trPr>
          <w:trHeight w:val="257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الرأسمالية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39,220 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0.1%</w:t>
            </w:r>
          </w:p>
        </w:tc>
      </w:tr>
      <w:tr w:rsidR="005F25AD" w:rsidRPr="005F25AD" w:rsidTr="005F25AD">
        <w:trPr>
          <w:trHeight w:val="257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المجموع العام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54,327,966 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</w:tbl>
    <w:p w:rsidR="005F25AD" w:rsidRDefault="005F25AD" w:rsidP="005F25AD">
      <w:pPr>
        <w:rPr>
          <w:rFonts w:ascii="Andalus" w:hAnsi="Andalus" w:cs="Andalus"/>
          <w:rtl/>
          <w:lang w:bidi="ar-IQ"/>
        </w:rPr>
      </w:pPr>
    </w:p>
    <w:p w:rsidR="005F25AD" w:rsidRDefault="005F25AD" w:rsidP="005F25AD">
      <w:pPr>
        <w:ind w:left="-426"/>
        <w:rPr>
          <w:rFonts w:ascii="Andalus" w:hAnsi="Andalus" w:cs="Andalus"/>
          <w:rtl/>
          <w:lang w:bidi="ar-IQ"/>
        </w:rPr>
      </w:pPr>
      <w:r>
        <w:rPr>
          <w:noProof/>
        </w:rPr>
        <w:drawing>
          <wp:inline distT="0" distB="0" distL="0" distR="0" wp14:anchorId="51BC3991" wp14:editId="637E7BD7">
            <wp:extent cx="8704613" cy="3325091"/>
            <wp:effectExtent l="0" t="0" r="1270" b="889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bidiVisual/>
        <w:tblW w:w="11765" w:type="dxa"/>
        <w:tblInd w:w="-460" w:type="dxa"/>
        <w:tblLook w:val="04A0" w:firstRow="1" w:lastRow="0" w:firstColumn="1" w:lastColumn="0" w:noHBand="0" w:noVBand="1"/>
      </w:tblPr>
      <w:tblGrid>
        <w:gridCol w:w="4536"/>
        <w:gridCol w:w="2126"/>
        <w:gridCol w:w="1985"/>
        <w:gridCol w:w="1843"/>
        <w:gridCol w:w="1275"/>
      </w:tblGrid>
      <w:tr w:rsidR="005F25AD" w:rsidRPr="005F25AD" w:rsidTr="005F25AD">
        <w:trPr>
          <w:trHeight w:val="282"/>
        </w:trPr>
        <w:tc>
          <w:tcPr>
            <w:tcW w:w="1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جدول يوضح نسبة التنفيذ للمصروفات حسب التصنيف الإقتصادي</w:t>
            </w:r>
          </w:p>
        </w:tc>
      </w:tr>
      <w:tr w:rsidR="005F25AD" w:rsidRPr="005F25AD" w:rsidTr="005F25AD">
        <w:trPr>
          <w:trHeight w:val="282"/>
        </w:trPr>
        <w:tc>
          <w:tcPr>
            <w:tcW w:w="1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المصروفات مفروزة حسب نسبه التنفيذ</w:t>
            </w:r>
          </w:p>
        </w:tc>
      </w:tr>
      <w:tr w:rsidR="005F25AD" w:rsidRPr="005F25AD" w:rsidTr="00432E94">
        <w:trPr>
          <w:trHeight w:val="2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الفصول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الأهمية النسبية </w:t>
            </w:r>
          </w:p>
        </w:tc>
      </w:tr>
      <w:tr w:rsidR="005F25AD" w:rsidRPr="005F25AD" w:rsidTr="00432E94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تعويضات الموظفين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39,145,464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31,833,403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81%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62%</w:t>
            </w:r>
          </w:p>
        </w:tc>
      </w:tr>
      <w:tr w:rsidR="005F25AD" w:rsidRPr="005F25AD" w:rsidTr="00432E94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صيانة الموجودات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521,043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327,612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63%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5F25AD" w:rsidRPr="005F25AD" w:rsidTr="00432E94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الرعاية الاجتماعية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17,703,772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10,350,617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58%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20%</w:t>
            </w:r>
          </w:p>
        </w:tc>
      </w:tr>
      <w:tr w:rsidR="005F25AD" w:rsidRPr="005F25AD" w:rsidTr="00432E94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المنح والاعانات وخدمة الدين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14,518,969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6,514,056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45%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13%</w:t>
            </w:r>
          </w:p>
        </w:tc>
      </w:tr>
      <w:tr w:rsidR="005F25AD" w:rsidRPr="005F25AD" w:rsidTr="00432E94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النفقات الرأسمالية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269,694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95,792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36%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0%</w:t>
            </w:r>
          </w:p>
        </w:tc>
      </w:tr>
      <w:tr w:rsidR="005F25AD" w:rsidRPr="005F25AD" w:rsidTr="00432E94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المستلزمات الخدمية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2,126,621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680,754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32%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5F25AD" w:rsidRPr="005F25AD" w:rsidTr="00432E94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المستلزمات السلعية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4,505,690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1,241,905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28%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2%</w:t>
            </w:r>
          </w:p>
        </w:tc>
      </w:tr>
      <w:tr w:rsidR="005F25AD" w:rsidRPr="005F25AD" w:rsidTr="00432E94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الالتزامات والمساهمات والمساعدات الخارجيه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700,926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78,916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11%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0%</w:t>
            </w:r>
          </w:p>
        </w:tc>
      </w:tr>
      <w:tr w:rsidR="005F25AD" w:rsidRPr="005F25AD" w:rsidTr="00432E94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البرامج الخاصة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657,231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50,370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8%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0%</w:t>
            </w:r>
          </w:p>
        </w:tc>
      </w:tr>
      <w:tr w:rsidR="005F25AD" w:rsidRPr="005F25AD" w:rsidTr="00432E94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المجموع العام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80,149,411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51,173,425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64%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100%</w:t>
            </w:r>
          </w:p>
        </w:tc>
      </w:tr>
    </w:tbl>
    <w:p w:rsidR="005F25AD" w:rsidRDefault="005F25AD" w:rsidP="005F25AD">
      <w:pPr>
        <w:rPr>
          <w:rFonts w:ascii="Andalus" w:hAnsi="Andalus" w:cs="Andalus" w:hint="cs"/>
          <w:rtl/>
          <w:lang w:bidi="ar-IQ"/>
        </w:rPr>
      </w:pPr>
    </w:p>
    <w:p w:rsidR="00432E94" w:rsidRDefault="00432E94" w:rsidP="00432E94">
      <w:pPr>
        <w:ind w:left="-568"/>
        <w:rPr>
          <w:rFonts w:ascii="Andalus" w:hAnsi="Andalus" w:cs="Andalus"/>
          <w:rtl/>
          <w:lang w:bidi="ar-IQ"/>
        </w:rPr>
      </w:pPr>
      <w:r>
        <w:rPr>
          <w:noProof/>
        </w:rPr>
        <w:drawing>
          <wp:inline distT="0" distB="0" distL="0" distR="0" wp14:anchorId="611FDE43" wp14:editId="1E9EA156">
            <wp:extent cx="8609610" cy="3206337"/>
            <wp:effectExtent l="0" t="0" r="127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1142"/>
        <w:bidiVisual/>
        <w:tblW w:w="14167" w:type="dxa"/>
        <w:tblLook w:val="04A0" w:firstRow="1" w:lastRow="0" w:firstColumn="1" w:lastColumn="0" w:noHBand="0" w:noVBand="1"/>
      </w:tblPr>
      <w:tblGrid>
        <w:gridCol w:w="7"/>
        <w:gridCol w:w="3670"/>
        <w:gridCol w:w="1843"/>
        <w:gridCol w:w="1984"/>
        <w:gridCol w:w="1985"/>
        <w:gridCol w:w="1843"/>
        <w:gridCol w:w="1417"/>
        <w:gridCol w:w="1411"/>
        <w:gridCol w:w="7"/>
      </w:tblGrid>
      <w:tr w:rsidR="00432E94" w:rsidRPr="00432E94" w:rsidTr="00432E94">
        <w:trPr>
          <w:trHeight w:val="646"/>
        </w:trPr>
        <w:tc>
          <w:tcPr>
            <w:tcW w:w="14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noWrap/>
            <w:vAlign w:val="center"/>
            <w:hideMark/>
          </w:tcPr>
          <w:p w:rsidR="00432E94" w:rsidRPr="00432E94" w:rsidRDefault="00432E94" w:rsidP="0043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ملخص تنفيذ الموازنه حسب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التصنيف الأداري مع أرصدة السلف</w:t>
            </w: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(الجزء الاول)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738"/>
        </w:trPr>
        <w:tc>
          <w:tcPr>
            <w:tcW w:w="3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noWrap/>
            <w:vAlign w:val="center"/>
            <w:hideMark/>
          </w:tcPr>
          <w:p w:rsidR="00432E94" w:rsidRPr="00432E94" w:rsidRDefault="00432E94" w:rsidP="0043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اسماء الوزارات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32E94" w:rsidRPr="00432E94" w:rsidRDefault="00432E94" w:rsidP="0043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32E94" w:rsidRPr="00432E94" w:rsidRDefault="00432E94" w:rsidP="0043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32E94" w:rsidRPr="00432E94" w:rsidRDefault="00432E94" w:rsidP="0043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أرصدة السلف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32E94" w:rsidRPr="00432E94" w:rsidRDefault="00432E94" w:rsidP="0043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الأجمالي (فعلي+ سلف )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32E94" w:rsidRPr="00432E94" w:rsidRDefault="00432E94" w:rsidP="0043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نسبة التنفيذ للنفقات الفعليه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32E94" w:rsidRPr="00432E94" w:rsidRDefault="00432E94" w:rsidP="0043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للانفاق العام 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الشباب والرياضة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104,261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101,440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2,813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104,252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97%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وزارةالدفاع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6,181,886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5,862,812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230,323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6,093,135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99%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الداخلية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9,976,297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9,848,812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-43,227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9,805,585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99%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98%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الصناعة والمعادن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1,076,710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1,052,844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-354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1,052,490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98%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98%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التربية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7,712,985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7,509,014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1,106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7,510,120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97%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97%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مجلس النواب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429,207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394,958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4,074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399,032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92%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93%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الاعمار والاسكان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1,006,481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710,254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223,148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933,401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93%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العدل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597,434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527,730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-425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527,305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88%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88%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دوائر غير مرتبطة بوزارة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905,912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765,237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12,321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777,558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النقل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196,365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167,592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167,906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الموارد المائية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265,121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222,206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1,686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223,892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مجلس الوزراء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3,192,642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2,311,942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383,189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2,695,131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مجلس القضاء الاعلى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452,131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377,174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377,174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التعليم العالي والبحث العلمي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2,792,270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2,208,232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51,208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2,259,440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رئاسة الجمهورية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59,163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44,376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-613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43,763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الثقافة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171,612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120,133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6,450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126,583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التخطيط والتعاون الانمائي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61,859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45,253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-19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45,234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الزراعة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801,651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224,177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339,133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563,310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المالية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17,764,879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12,104,896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238,399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12,343,295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69%</w:t>
            </w:r>
          </w:p>
        </w:tc>
      </w:tr>
    </w:tbl>
    <w:p w:rsidR="005F25AD" w:rsidRDefault="00432E94" w:rsidP="00432E94">
      <w:pPr>
        <w:ind w:left="-710"/>
        <w:rPr>
          <w:rFonts w:ascii="Andalus" w:hAnsi="Andalus" w:cs="Andalus" w:hint="cs"/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2BA4211D" wp14:editId="2138756E">
            <wp:extent cx="8906493" cy="5949538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32E94" w:rsidRDefault="00432E94" w:rsidP="00432E94">
      <w:pPr>
        <w:rPr>
          <w:rFonts w:ascii="Andalus" w:hAnsi="Andalus" w:cs="Andalus" w:hint="cs"/>
          <w:rtl/>
          <w:lang w:bidi="ar-IQ"/>
        </w:rPr>
      </w:pPr>
    </w:p>
    <w:tbl>
      <w:tblPr>
        <w:tblpPr w:leftFromText="180" w:rightFromText="180" w:vertAnchor="page" w:horzAnchor="margin" w:tblpXSpec="center" w:tblpY="1010"/>
        <w:bidiVisual/>
        <w:tblW w:w="14552" w:type="dxa"/>
        <w:tblLook w:val="04A0" w:firstRow="1" w:lastRow="0" w:firstColumn="1" w:lastColumn="0" w:noHBand="0" w:noVBand="1"/>
      </w:tblPr>
      <w:tblGrid>
        <w:gridCol w:w="7"/>
        <w:gridCol w:w="4055"/>
        <w:gridCol w:w="2268"/>
        <w:gridCol w:w="2126"/>
        <w:gridCol w:w="1985"/>
        <w:gridCol w:w="1843"/>
        <w:gridCol w:w="1134"/>
        <w:gridCol w:w="1134"/>
      </w:tblGrid>
      <w:tr w:rsidR="00325188" w:rsidRPr="00432E94" w:rsidTr="00325188">
        <w:trPr>
          <w:trHeight w:val="528"/>
        </w:trPr>
        <w:tc>
          <w:tcPr>
            <w:tcW w:w="14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noWrap/>
            <w:vAlign w:val="center"/>
            <w:hideMark/>
          </w:tcPr>
          <w:p w:rsidR="00432E94" w:rsidRPr="00432E94" w:rsidRDefault="00432E94" w:rsidP="00325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ملخص تنفيذ الموازنه حسب </w:t>
            </w:r>
            <w:r w:rsidR="003251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التصنيف الأداري مع أرصدة السلف </w:t>
            </w:r>
            <w:r w:rsidR="00325188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(الجزء الثاني)</w:t>
            </w:r>
          </w:p>
        </w:tc>
      </w:tr>
      <w:tr w:rsidR="00325188" w:rsidRPr="00432E94" w:rsidTr="00325188">
        <w:trPr>
          <w:gridBefore w:val="1"/>
          <w:wBefore w:w="7" w:type="dxa"/>
          <w:trHeight w:val="602"/>
        </w:trPr>
        <w:tc>
          <w:tcPr>
            <w:tcW w:w="4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noWrap/>
            <w:vAlign w:val="center"/>
            <w:hideMark/>
          </w:tcPr>
          <w:p w:rsidR="00432E94" w:rsidRPr="00432E94" w:rsidRDefault="00432E94" w:rsidP="00325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اسماء الوزارات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32E94" w:rsidRPr="00432E94" w:rsidRDefault="00432E94" w:rsidP="00325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32E94" w:rsidRPr="00432E94" w:rsidRDefault="00432E94" w:rsidP="00325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32E94" w:rsidRPr="00432E94" w:rsidRDefault="00432E94" w:rsidP="00325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أرصدة السلف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32E94" w:rsidRPr="00432E94" w:rsidRDefault="00432E94" w:rsidP="00325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الأجمالي (فعلي+ سلف )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32E94" w:rsidRPr="00432E94" w:rsidRDefault="00432E94" w:rsidP="00325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نسبة التنفيذ للنفقات الفعليه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32E94" w:rsidRPr="00432E94" w:rsidRDefault="00432E94" w:rsidP="00325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للانفاق العام 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النفط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2,049,568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299,257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930,450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1,229,707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60%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الخارجية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348,780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169,080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40,084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209,165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60%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المهجرين والمهاجرين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1,169,211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174,607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443,770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618,377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53%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وزارةالعمل والشوؤن الاجتماعية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2,229,148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1,142,788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1,064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1,143,851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51%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الكهرباء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1,958,962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1,246,242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-369,176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877,067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45%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الصحة والبيئة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4,980,837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3,058,225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-1,231,433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1,826,793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37%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الاتصالات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174,521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19,129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19,134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11%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التجارة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4,304,520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399,030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53,419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452,448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11%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البلديات والاشغال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1,699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-195,980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-194,281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العلوم والتكنولوجيا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البيئة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-1,977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-1,977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حقوق الانسان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السياحة والأثار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محافظة بغداد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5,361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5,372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محافظة ذي قار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محافظة ديالى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10,148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10,452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محافظة بابل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7,690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8,563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25188" w:rsidRPr="00432E94" w:rsidTr="00325188">
        <w:trPr>
          <w:gridBefore w:val="1"/>
          <w:wBefore w:w="7" w:type="dxa"/>
          <w:trHeight w:val="347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محافظة ميسان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3,214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3,791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محافظة واسط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5,715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5,753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محافظة النجف الاشرف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4,037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4,037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محافظة الديوانية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11,708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1,030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12,737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محافظة المثنى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1,423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1,426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محافظة كربلاء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14,366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17,101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31,467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432E94" w:rsidRDefault="00432E94" w:rsidP="00432E94">
      <w:pPr>
        <w:rPr>
          <w:rFonts w:ascii="Andalus" w:hAnsi="Andalus" w:cs="Andalus" w:hint="cs"/>
          <w:rtl/>
          <w:lang w:bidi="ar-IQ"/>
        </w:rPr>
      </w:pPr>
    </w:p>
    <w:p w:rsidR="00325188" w:rsidRPr="00432E94" w:rsidRDefault="00325188" w:rsidP="00325188">
      <w:pPr>
        <w:ind w:left="-426"/>
        <w:rPr>
          <w:rFonts w:ascii="Andalus" w:hAnsi="Andalus" w:cs="Andalus" w:hint="cs"/>
          <w:rtl/>
          <w:lang w:bidi="ar-IQ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075B447C" wp14:editId="423A8CD7">
            <wp:extent cx="8514607" cy="5961413"/>
            <wp:effectExtent l="0" t="0" r="1270" b="127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0"/>
    </w:p>
    <w:sectPr w:rsidR="00325188" w:rsidRPr="00432E94" w:rsidSect="009557E1">
      <w:footerReference w:type="default" r:id="rId14"/>
      <w:pgSz w:w="16838" w:h="11906" w:orient="landscape"/>
      <w:pgMar w:top="709" w:right="2096" w:bottom="142" w:left="1985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94" w:rsidRDefault="000A3694" w:rsidP="000105EC">
      <w:pPr>
        <w:spacing w:after="0" w:line="240" w:lineRule="auto"/>
      </w:pPr>
      <w:r>
        <w:separator/>
      </w:r>
    </w:p>
  </w:endnote>
  <w:endnote w:type="continuationSeparator" w:id="0">
    <w:p w:rsidR="000A3694" w:rsidRDefault="000A3694" w:rsidP="0001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11006879"/>
      <w:docPartObj>
        <w:docPartGallery w:val="Page Numbers (Bottom of Page)"/>
        <w:docPartUnique/>
      </w:docPartObj>
    </w:sdtPr>
    <w:sdtEndPr/>
    <w:sdtContent>
      <w:p w:rsidR="000105EC" w:rsidRDefault="00B239C8">
        <w:pPr>
          <w:pStyle w:val="Footer"/>
          <w:jc w:val="center"/>
        </w:pPr>
        <w:r>
          <w:fldChar w:fldCharType="begin"/>
        </w:r>
        <w:r w:rsidR="0034143B">
          <w:instrText xml:space="preserve"> PAGE   \* MERGEFORMAT </w:instrText>
        </w:r>
        <w:r>
          <w:fldChar w:fldCharType="separate"/>
        </w:r>
        <w:r w:rsidR="00325188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0105EC" w:rsidRDefault="000105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94" w:rsidRDefault="000A3694" w:rsidP="000105EC">
      <w:pPr>
        <w:spacing w:after="0" w:line="240" w:lineRule="auto"/>
      </w:pPr>
      <w:r>
        <w:separator/>
      </w:r>
    </w:p>
  </w:footnote>
  <w:footnote w:type="continuationSeparator" w:id="0">
    <w:p w:rsidR="000A3694" w:rsidRDefault="000A3694" w:rsidP="0001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1BD"/>
    <w:rsid w:val="0000556B"/>
    <w:rsid w:val="000105EC"/>
    <w:rsid w:val="00031874"/>
    <w:rsid w:val="00040609"/>
    <w:rsid w:val="000508B7"/>
    <w:rsid w:val="00053C87"/>
    <w:rsid w:val="000A162F"/>
    <w:rsid w:val="000A3694"/>
    <w:rsid w:val="000C5BBC"/>
    <w:rsid w:val="000F125D"/>
    <w:rsid w:val="000F1D4F"/>
    <w:rsid w:val="000F7915"/>
    <w:rsid w:val="00131B27"/>
    <w:rsid w:val="00135507"/>
    <w:rsid w:val="001B363F"/>
    <w:rsid w:val="001D0D2C"/>
    <w:rsid w:val="00216C5B"/>
    <w:rsid w:val="00230BB5"/>
    <w:rsid w:val="00245FCF"/>
    <w:rsid w:val="002C78D9"/>
    <w:rsid w:val="002E19EC"/>
    <w:rsid w:val="002F18C5"/>
    <w:rsid w:val="00305F97"/>
    <w:rsid w:val="00320690"/>
    <w:rsid w:val="00325188"/>
    <w:rsid w:val="00330BDB"/>
    <w:rsid w:val="00331DAB"/>
    <w:rsid w:val="0034143B"/>
    <w:rsid w:val="003A5A8D"/>
    <w:rsid w:val="003A645B"/>
    <w:rsid w:val="003B3837"/>
    <w:rsid w:val="003C0D14"/>
    <w:rsid w:val="003D7DEF"/>
    <w:rsid w:val="00420B24"/>
    <w:rsid w:val="00421A27"/>
    <w:rsid w:val="00432E94"/>
    <w:rsid w:val="0044606E"/>
    <w:rsid w:val="004558F6"/>
    <w:rsid w:val="004565EB"/>
    <w:rsid w:val="00483D9D"/>
    <w:rsid w:val="00486664"/>
    <w:rsid w:val="004A03F7"/>
    <w:rsid w:val="004A3272"/>
    <w:rsid w:val="004A4675"/>
    <w:rsid w:val="004A79A0"/>
    <w:rsid w:val="004F5C3A"/>
    <w:rsid w:val="00575FCD"/>
    <w:rsid w:val="005C4971"/>
    <w:rsid w:val="005E48F3"/>
    <w:rsid w:val="005F1248"/>
    <w:rsid w:val="005F25AD"/>
    <w:rsid w:val="00621752"/>
    <w:rsid w:val="00640E31"/>
    <w:rsid w:val="006519C3"/>
    <w:rsid w:val="00655F6B"/>
    <w:rsid w:val="0068319D"/>
    <w:rsid w:val="006E5FE5"/>
    <w:rsid w:val="00745E82"/>
    <w:rsid w:val="00757BC4"/>
    <w:rsid w:val="007615E3"/>
    <w:rsid w:val="007A094A"/>
    <w:rsid w:val="007F42B8"/>
    <w:rsid w:val="00810B66"/>
    <w:rsid w:val="008200A1"/>
    <w:rsid w:val="00840C03"/>
    <w:rsid w:val="008540EC"/>
    <w:rsid w:val="00872DB0"/>
    <w:rsid w:val="00881E49"/>
    <w:rsid w:val="0088731F"/>
    <w:rsid w:val="008C7529"/>
    <w:rsid w:val="009557E1"/>
    <w:rsid w:val="009648A0"/>
    <w:rsid w:val="00966474"/>
    <w:rsid w:val="00966B76"/>
    <w:rsid w:val="0097085B"/>
    <w:rsid w:val="009962DE"/>
    <w:rsid w:val="00997090"/>
    <w:rsid w:val="009B350D"/>
    <w:rsid w:val="009C2506"/>
    <w:rsid w:val="00A0053D"/>
    <w:rsid w:val="00A1613D"/>
    <w:rsid w:val="00A371B5"/>
    <w:rsid w:val="00A5245F"/>
    <w:rsid w:val="00A6393C"/>
    <w:rsid w:val="00AA63EA"/>
    <w:rsid w:val="00AB1F96"/>
    <w:rsid w:val="00AB2207"/>
    <w:rsid w:val="00B16D51"/>
    <w:rsid w:val="00B20D90"/>
    <w:rsid w:val="00B239C8"/>
    <w:rsid w:val="00B5362E"/>
    <w:rsid w:val="00B8507C"/>
    <w:rsid w:val="00BA7C23"/>
    <w:rsid w:val="00BD7A5A"/>
    <w:rsid w:val="00C00192"/>
    <w:rsid w:val="00C42643"/>
    <w:rsid w:val="00C523BF"/>
    <w:rsid w:val="00C57FD7"/>
    <w:rsid w:val="00C6341E"/>
    <w:rsid w:val="00CB2B74"/>
    <w:rsid w:val="00CC6413"/>
    <w:rsid w:val="00CE07EA"/>
    <w:rsid w:val="00CE12E3"/>
    <w:rsid w:val="00CF53C2"/>
    <w:rsid w:val="00D3153B"/>
    <w:rsid w:val="00D31ADF"/>
    <w:rsid w:val="00D61BC0"/>
    <w:rsid w:val="00D65969"/>
    <w:rsid w:val="00D95243"/>
    <w:rsid w:val="00D96F24"/>
    <w:rsid w:val="00DA26FC"/>
    <w:rsid w:val="00DF6AE4"/>
    <w:rsid w:val="00DF71BD"/>
    <w:rsid w:val="00E2086E"/>
    <w:rsid w:val="00EB6739"/>
    <w:rsid w:val="00EC4EDD"/>
    <w:rsid w:val="00EC7F28"/>
    <w:rsid w:val="00ED580C"/>
    <w:rsid w:val="00F04EC7"/>
    <w:rsid w:val="00F062EF"/>
    <w:rsid w:val="00F07197"/>
    <w:rsid w:val="00F26635"/>
    <w:rsid w:val="00F41CCF"/>
    <w:rsid w:val="00F60072"/>
    <w:rsid w:val="00F92E05"/>
    <w:rsid w:val="00FF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1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05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5EC"/>
  </w:style>
  <w:style w:type="paragraph" w:styleId="Footer">
    <w:name w:val="footer"/>
    <w:basedOn w:val="Normal"/>
    <w:link w:val="FooterChar"/>
    <w:uiPriority w:val="99"/>
    <w:unhideWhenUsed/>
    <w:rsid w:val="000105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ar-IQ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ملخص الانفاق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العام </a:t>
            </a:r>
            <a:endParaRPr lang="ar-IQ" sz="1200"/>
          </a:p>
        </c:rich>
      </c:tx>
      <c:layout>
        <c:manualLayout>
          <c:xMode val="edge"/>
          <c:yMode val="edge"/>
          <c:x val="0.57088950751775991"/>
          <c:y val="7.9381044971023454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'ورقه عمل'!$B$3</c:f>
              <c:strCache>
                <c:ptCount val="1"/>
                <c:pt idx="0">
                  <c:v>المبالغ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3.276864754287824E-2"/>
                  <c:y val="-0.436595747340628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4613152091442024E-3"/>
                  <c:y val="-0.171353898606688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5">
                  <a:lumMod val="40000"/>
                  <a:lumOff val="60000"/>
                </a:schemeClr>
              </a:solidFill>
              <a:ln w="952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lang="ar-IQ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عمل'!$A$4:$A$5</c:f>
              <c:strCache>
                <c:ptCount val="2"/>
                <c:pt idx="0">
                  <c:v>الاعتمادات المصدقة</c:v>
                </c:pt>
                <c:pt idx="1">
                  <c:v>الانفاق الاجمالي (المصرف الفعلي مضافأ اليه السلف)</c:v>
                </c:pt>
              </c:strCache>
            </c:strRef>
          </c:cat>
          <c:val>
            <c:numRef>
              <c:f>'ورقه عمل'!$B$4:$B$5</c:f>
              <c:numCache>
                <c:formatCode>_-* #,##0_-;_-* #,##0\-;_-* "-"??_-;_-@_-</c:formatCode>
                <c:ptCount val="2"/>
                <c:pt idx="0">
                  <c:v>80149411.081</c:v>
                </c:pt>
                <c:pt idx="1">
                  <c:v>52312426.837844312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1314176"/>
        <c:axId val="171340544"/>
        <c:axId val="0"/>
      </c:bar3DChart>
      <c:catAx>
        <c:axId val="1713141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ar-SA"/>
          </a:p>
        </c:txPr>
        <c:crossAx val="171340544"/>
        <c:crosses val="autoZero"/>
        <c:auto val="1"/>
        <c:lblAlgn val="ctr"/>
        <c:lblOffset val="100"/>
        <c:noMultiLvlLbl val="0"/>
      </c:catAx>
      <c:valAx>
        <c:axId val="171340544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ar-SA"/>
          </a:p>
        </c:txPr>
        <c:crossAx val="1713141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ar-IQ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الملخص التنفيذي للأيرادات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والمصروفات </a:t>
            </a:r>
            <a:endParaRPr lang="en-US" sz="1200"/>
          </a:p>
        </c:rich>
      </c:tx>
      <c:layout>
        <c:manualLayout>
          <c:xMode val="edge"/>
          <c:yMode val="edge"/>
          <c:x val="0.53032217988052244"/>
          <c:y val="3.5592348562069852E-2"/>
        </c:manualLayout>
      </c:layout>
      <c:overlay val="1"/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2.715667327956061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006263319603165E-17"/>
                  <c:y val="-2.5067698411902081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1914890643621178E-3"/>
                  <c:y val="-3.7637473093158041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922882514292747E-2"/>
                  <c:y val="-2.9245648147219187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3">
                  <a:lumMod val="60000"/>
                  <a:lumOff val="40000"/>
                </a:schemeClr>
              </a:solidFill>
              <a:ln w="9525" cap="flat" cmpd="sng" algn="ctr">
                <a:solidFill>
                  <a:schemeClr val="accent6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lang="ar-IQ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عمل'!$A$12:$A$15</c:f>
              <c:strCache>
                <c:ptCount val="4"/>
                <c:pt idx="0">
                  <c:v>الأيرادات </c:v>
                </c:pt>
                <c:pt idx="1">
                  <c:v>المصروفات</c:v>
                </c:pt>
                <c:pt idx="2">
                  <c:v>السلف </c:v>
                </c:pt>
                <c:pt idx="3">
                  <c:v>الأنفاق الأجمالي( المصرف الفعلي مضافآ اليه السلف )</c:v>
                </c:pt>
              </c:strCache>
            </c:strRef>
          </c:cat>
          <c:val>
            <c:numRef>
              <c:f>'ورقه عمل'!$B$12:$B$15</c:f>
              <c:numCache>
                <c:formatCode>_-* #,##0_-;_-* #,##0\-;_-* "-"??_-;_-@_-</c:formatCode>
                <c:ptCount val="4"/>
                <c:pt idx="0">
                  <c:v>54327966.403816655</c:v>
                </c:pt>
                <c:pt idx="1">
                  <c:v>51173425.329718642</c:v>
                </c:pt>
                <c:pt idx="2">
                  <c:v>1139001.5081256919</c:v>
                </c:pt>
                <c:pt idx="3">
                  <c:v>52312426.837844335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1373696"/>
        <c:axId val="171375232"/>
        <c:axId val="0"/>
      </c:bar3DChart>
      <c:catAx>
        <c:axId val="1713736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ar-SA"/>
          </a:p>
        </c:txPr>
        <c:crossAx val="171375232"/>
        <c:crosses val="autoZero"/>
        <c:auto val="1"/>
        <c:lblAlgn val="ctr"/>
        <c:lblOffset val="100"/>
        <c:noMultiLvlLbl val="0"/>
      </c:catAx>
      <c:valAx>
        <c:axId val="171375232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ar-SA"/>
          </a:p>
        </c:txPr>
        <c:crossAx val="1713736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ar-IQ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</a:t>
            </a:r>
            <a:r>
              <a:rPr lang="ar-IQ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r>
              <a:rPr lang="ar-IQ">
                <a:solidFill>
                  <a:schemeClr val="dk1"/>
                </a:solidFill>
                <a:latin typeface="+mn-lt"/>
                <a:ea typeface="+mn-ea"/>
                <a:cs typeface="+mn-cs"/>
              </a:rPr>
              <a:t>نسبة الأهميه</a:t>
            </a:r>
            <a:r>
              <a:rPr lang="ar-IQ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النسبيه</a:t>
            </a:r>
            <a:r>
              <a:rPr lang="ar-IQ">
                <a:solidFill>
                  <a:schemeClr val="dk1"/>
                </a:solidFill>
                <a:latin typeface="+mn-lt"/>
                <a:ea typeface="+mn-ea"/>
                <a:cs typeface="+mn-cs"/>
              </a:rPr>
              <a:t> للايرادات </a:t>
            </a:r>
            <a:endParaRPr lang="ar-IQ"/>
          </a:p>
        </c:rich>
      </c:tx>
      <c:layout>
        <c:manualLayout>
          <c:xMode val="edge"/>
          <c:yMode val="edge"/>
          <c:x val="0.51781451182348281"/>
          <c:y val="3.7601547617853268E-2"/>
        </c:manualLayout>
      </c:layout>
      <c:overlay val="0"/>
      <c:spPr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'ورقه عمل'!$D$37</c:f>
              <c:strCache>
                <c:ptCount val="1"/>
                <c:pt idx="0">
                  <c:v>نسبة التنفيذ 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0922990022978906E-2"/>
                  <c:y val="-0.40526112432575045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2288242828579302E-2"/>
                  <c:y val="-8.1470019838681684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115044400012309E-2"/>
                  <c:y val="-6.0580271162096806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8268015714329638E-3"/>
                  <c:y val="-6.0580271162096806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3653603142865943E-2"/>
                  <c:y val="-5.8491296294438361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2288242828579302E-2"/>
                  <c:y val="-4.5957447088487167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3653603142865943E-2"/>
                  <c:y val="-4.3868472220828778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638432377143912E-2"/>
                  <c:y val="-4.5957447088487167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4614412571463797E-3"/>
                  <c:y val="-4.3868472220828778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4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lang="ar-IQ" sz="1050" b="1"/>
                </a:pPr>
                <a:endParaRPr lang="ar-SA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عمل'!$A$23:$A$30</c:f>
              <c:strCache>
                <c:ptCount val="8"/>
                <c:pt idx="0">
                  <c:v> الايرادات النفطية والثروات المعدنية</c:v>
                </c:pt>
                <c:pt idx="1">
                  <c:v> الضرائب على الدخول والثروات</c:v>
                </c:pt>
                <c:pt idx="2">
                  <c:v> الايرادات التحويلية</c:v>
                </c:pt>
                <c:pt idx="3">
                  <c:v> ايرادات اخرى</c:v>
                </c:pt>
                <c:pt idx="4">
                  <c:v> حصة الموازنة من ارباح القطاع العام</c:v>
                </c:pt>
                <c:pt idx="5">
                  <c:v> الرسوم</c:v>
                </c:pt>
                <c:pt idx="6">
                  <c:v> الضرائب السلعية ورسوم الانتاج</c:v>
                </c:pt>
                <c:pt idx="7">
                  <c:v> الايرادات الرأسمالية</c:v>
                </c:pt>
              </c:strCache>
            </c:strRef>
          </c:cat>
          <c:val>
            <c:numRef>
              <c:f>'ورقه عمل'!$C$23:$C$30</c:f>
              <c:numCache>
                <c:formatCode>0%</c:formatCode>
                <c:ptCount val="8"/>
                <c:pt idx="0">
                  <c:v>0.81481170306486095</c:v>
                </c:pt>
                <c:pt idx="1">
                  <c:v>5.9444598892746336E-2</c:v>
                </c:pt>
                <c:pt idx="2">
                  <c:v>5.5498547763342225E-2</c:v>
                </c:pt>
                <c:pt idx="3">
                  <c:v>3.3009118219799509E-2</c:v>
                </c:pt>
                <c:pt idx="4">
                  <c:v>1.2567912879543281E-2</c:v>
                </c:pt>
                <c:pt idx="5">
                  <c:v>1.2306088676517238E-2</c:v>
                </c:pt>
                <c:pt idx="6">
                  <c:v>1.1640118689391155E-2</c:v>
                </c:pt>
                <c:pt idx="7" formatCode="0.0%">
                  <c:v>7.2191181379924999E-4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2990592"/>
        <c:axId val="193438848"/>
        <c:axId val="0"/>
      </c:bar3DChart>
      <c:catAx>
        <c:axId val="192990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ar-IQ" sz="1050" b="1"/>
            </a:pPr>
            <a:endParaRPr lang="ar-SA"/>
          </a:p>
        </c:txPr>
        <c:crossAx val="193438848"/>
        <c:crosses val="autoZero"/>
        <c:auto val="1"/>
        <c:lblAlgn val="ctr"/>
        <c:lblOffset val="100"/>
        <c:noMultiLvlLbl val="0"/>
      </c:catAx>
      <c:valAx>
        <c:axId val="1934388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ar-IQ" sz="1050" b="1"/>
            </a:pPr>
            <a:endParaRPr lang="ar-SA"/>
          </a:p>
        </c:txPr>
        <c:crossAx val="192990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ar-IQ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للمصروفات حسب التصنيف الاقتصادي </a:t>
            </a:r>
            <a:endParaRPr lang="ar-IQ" sz="1200"/>
          </a:p>
        </c:rich>
      </c:tx>
      <c:layout>
        <c:manualLayout>
          <c:xMode val="edge"/>
          <c:yMode val="edge"/>
          <c:x val="0.54414037882190658"/>
          <c:y val="4.1817493667692128E-2"/>
        </c:manualLayout>
      </c:layout>
      <c:overlay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'ورقه عمل'!$D$37</c:f>
              <c:strCache>
                <c:ptCount val="1"/>
                <c:pt idx="0">
                  <c:v>نسبة التنفيذ 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922882514292747E-2"/>
                  <c:y val="-1.88007738089265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922882514292747E-2"/>
                  <c:y val="-2.2978723544243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0960809428597783E-3"/>
                  <c:y val="-2.0889748676585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4614412571464214E-3"/>
                  <c:y val="-2.0889748676585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8268015714329638E-3"/>
                  <c:y val="-2.0889748676585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1.4622824073609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3653603142865956E-3"/>
                  <c:y val="-1.88007738089265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3.3423597882536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3.13346230148776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6">
                  <a:lumMod val="40000"/>
                  <a:lumOff val="60000"/>
                </a:schemeClr>
              </a:solidFill>
              <a:ln w="9525" cap="flat" cmpd="sng" algn="ctr">
                <a:solidFill>
                  <a:schemeClr val="accent3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lang="ar-IQ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عمل'!$A$38:$A$46</c:f>
              <c:strCache>
                <c:ptCount val="9"/>
                <c:pt idx="0">
                  <c:v> تعويضات الموظفين</c:v>
                </c:pt>
                <c:pt idx="1">
                  <c:v> صيانة الموجودات</c:v>
                </c:pt>
                <c:pt idx="2">
                  <c:v> الرعاية الاجتماعية</c:v>
                </c:pt>
                <c:pt idx="3">
                  <c:v> المنح والاعانات وخدمة الدين</c:v>
                </c:pt>
                <c:pt idx="4">
                  <c:v> النفقات الرأسمالية</c:v>
                </c:pt>
                <c:pt idx="5">
                  <c:v> المستلزمات الخدمية</c:v>
                </c:pt>
                <c:pt idx="6">
                  <c:v> المستلزمات السلعية</c:v>
                </c:pt>
                <c:pt idx="7">
                  <c:v>الالتزامات والمساهمات والمساعدات الخارجيه</c:v>
                </c:pt>
                <c:pt idx="8">
                  <c:v> البرامج الخاصة</c:v>
                </c:pt>
              </c:strCache>
            </c:strRef>
          </c:cat>
          <c:val>
            <c:numRef>
              <c:f>'ورقه عمل'!$D$38:$D$46</c:f>
              <c:numCache>
                <c:formatCode>0%</c:formatCode>
                <c:ptCount val="9"/>
                <c:pt idx="0">
                  <c:v>0.81320795970425241</c:v>
                </c:pt>
                <c:pt idx="1">
                  <c:v>0.62876220948521322</c:v>
                </c:pt>
                <c:pt idx="2">
                  <c:v>0.58465601101257136</c:v>
                </c:pt>
                <c:pt idx="3">
                  <c:v>0.44865828568814614</c:v>
                </c:pt>
                <c:pt idx="4">
                  <c:v>0.35518848909187423</c:v>
                </c:pt>
                <c:pt idx="5">
                  <c:v>0.32011057545048177</c:v>
                </c:pt>
                <c:pt idx="6">
                  <c:v>0.27563038939347712</c:v>
                </c:pt>
                <c:pt idx="7">
                  <c:v>0.11258829817500671</c:v>
                </c:pt>
                <c:pt idx="8">
                  <c:v>7.6639621024090027E-2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7019520"/>
        <c:axId val="197021056"/>
        <c:axId val="0"/>
      </c:bar3DChart>
      <c:catAx>
        <c:axId val="197019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ar-SA"/>
          </a:p>
        </c:txPr>
        <c:crossAx val="197021056"/>
        <c:crosses val="autoZero"/>
        <c:auto val="1"/>
        <c:lblAlgn val="ctr"/>
        <c:lblOffset val="100"/>
        <c:noMultiLvlLbl val="0"/>
      </c:catAx>
      <c:valAx>
        <c:axId val="1970210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ar-SA"/>
          </a:p>
        </c:txPr>
        <c:crossAx val="1970195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ar-IQ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للانفاق العام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حسب التصنيف الإداري </a:t>
            </a: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(الجزء الاول) </a:t>
            </a:r>
            <a:endParaRPr lang="ar-IQ" sz="1200"/>
          </a:p>
        </c:rich>
      </c:tx>
      <c:layout>
        <c:manualLayout>
          <c:xMode val="edge"/>
          <c:yMode val="edge"/>
          <c:x val="0.56162215126171122"/>
          <c:y val="3.7601547617853268E-2"/>
        </c:manualLayout>
      </c:layout>
      <c:overlay val="0"/>
      <c:spPr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5"/>
          <c:order val="0"/>
          <c:tx>
            <c:strRef>
              <c:f>'ورقه عمل'!$G$52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solidFill>
                <a:schemeClr val="tx2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lang="ar-IQ" sz="1200" b="1"/>
                </a:pPr>
                <a:endParaRPr lang="ar-SA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عمل'!$A$53:$A$71</c:f>
              <c:strCache>
                <c:ptCount val="19"/>
                <c:pt idx="0">
                  <c:v>وزارة الشباب والرياضة</c:v>
                </c:pt>
                <c:pt idx="1">
                  <c:v>وزارةالدفاع</c:v>
                </c:pt>
                <c:pt idx="2">
                  <c:v>وزارة الداخلية</c:v>
                </c:pt>
                <c:pt idx="3">
                  <c:v>وزارة الصناعة والمعادن</c:v>
                </c:pt>
                <c:pt idx="4">
                  <c:v>وزارة التربية</c:v>
                </c:pt>
                <c:pt idx="5">
                  <c:v>مجلس النواب</c:v>
                </c:pt>
                <c:pt idx="6">
                  <c:v>وزارة الاعمار والاسكان</c:v>
                </c:pt>
                <c:pt idx="7">
                  <c:v>وزارة العدل</c:v>
                </c:pt>
                <c:pt idx="8">
                  <c:v>دوائر غير مرتبطة بوزارة</c:v>
                </c:pt>
                <c:pt idx="9">
                  <c:v>وزارة النقل</c:v>
                </c:pt>
                <c:pt idx="10">
                  <c:v>وزارة الموارد المائية</c:v>
                </c:pt>
                <c:pt idx="11">
                  <c:v>مجلس الوزراء</c:v>
                </c:pt>
                <c:pt idx="12">
                  <c:v>مجلس القضاء الاعلى</c:v>
                </c:pt>
                <c:pt idx="13">
                  <c:v>وزارة التعليم العالي والبحث العلمي</c:v>
                </c:pt>
                <c:pt idx="14">
                  <c:v>رئاسة الجمهورية</c:v>
                </c:pt>
                <c:pt idx="15">
                  <c:v>وزارة الثقافة</c:v>
                </c:pt>
                <c:pt idx="16">
                  <c:v>وزارة التخطيط والتعاون الانمائي</c:v>
                </c:pt>
                <c:pt idx="17">
                  <c:v>وزارة الزراعة</c:v>
                </c:pt>
                <c:pt idx="18">
                  <c:v>وزارة المالية</c:v>
                </c:pt>
              </c:strCache>
            </c:strRef>
          </c:cat>
          <c:val>
            <c:numRef>
              <c:f>'ورقه عمل'!$G$53:$G$71</c:f>
              <c:numCache>
                <c:formatCode>0%</c:formatCode>
                <c:ptCount val="19"/>
                <c:pt idx="0">
                  <c:v>0.9999178663188415</c:v>
                </c:pt>
                <c:pt idx="1">
                  <c:v>0.98564339832238701</c:v>
                </c:pt>
                <c:pt idx="2">
                  <c:v>0.98288827756797825</c:v>
                </c:pt>
                <c:pt idx="3">
                  <c:v>0.9775057403252303</c:v>
                </c:pt>
                <c:pt idx="4">
                  <c:v>0.97369830290000614</c:v>
                </c:pt>
                <c:pt idx="5">
                  <c:v>0.92969485058736989</c:v>
                </c:pt>
                <c:pt idx="6">
                  <c:v>0.92739148128099269</c:v>
                </c:pt>
                <c:pt idx="7">
                  <c:v>0.88261691250286778</c:v>
                </c:pt>
                <c:pt idx="8">
                  <c:v>0.85831566572026674</c:v>
                </c:pt>
                <c:pt idx="9">
                  <c:v>0.85506679476330338</c:v>
                </c:pt>
                <c:pt idx="10">
                  <c:v>0.84449052688605009</c:v>
                </c:pt>
                <c:pt idx="11">
                  <c:v>0.84416961716223771</c:v>
                </c:pt>
                <c:pt idx="12">
                  <c:v>0.83421481496908023</c:v>
                </c:pt>
                <c:pt idx="13">
                  <c:v>0.80917675515221976</c:v>
                </c:pt>
                <c:pt idx="14">
                  <c:v>0.73970327253116785</c:v>
                </c:pt>
                <c:pt idx="15">
                  <c:v>0.73761390448846897</c:v>
                </c:pt>
                <c:pt idx="16">
                  <c:v>0.73123551486431104</c:v>
                </c:pt>
                <c:pt idx="17">
                  <c:v>0.70268794664686374</c:v>
                </c:pt>
                <c:pt idx="18">
                  <c:v>0.69481450463367456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8852608"/>
        <c:axId val="198854144"/>
        <c:axId val="0"/>
      </c:bar3DChart>
      <c:catAx>
        <c:axId val="198852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ar-SA"/>
          </a:p>
        </c:txPr>
        <c:crossAx val="198854144"/>
        <c:crosses val="autoZero"/>
        <c:auto val="1"/>
        <c:lblAlgn val="ctr"/>
        <c:lblOffset val="100"/>
        <c:noMultiLvlLbl val="0"/>
      </c:catAx>
      <c:valAx>
        <c:axId val="1988541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ar-SA"/>
          </a:p>
        </c:txPr>
        <c:crossAx val="1988526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ar-IQ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 b="1" i="0" u="none" strike="noStrike" baseline="0">
                <a:solidFill>
                  <a:schemeClr val="dk1"/>
                </a:solidFill>
                <a:effectLst/>
                <a:latin typeface="+mn-lt"/>
                <a:ea typeface="+mn-ea"/>
                <a:cs typeface="+mn-cs"/>
              </a:rPr>
              <a:t>مخطط يوضح نسبة التنفيذ للانفاق العام حسب التصنيف الإداري </a:t>
            </a: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(الجزء الثاني) </a:t>
            </a:r>
            <a:endParaRPr lang="ar-IQ" sz="1200"/>
          </a:p>
        </c:rich>
      </c:tx>
      <c:layout>
        <c:manualLayout>
          <c:xMode val="edge"/>
          <c:yMode val="edge"/>
          <c:x val="0.54905395581435956"/>
          <c:y val="3.9690522485511692E-2"/>
        </c:manualLayout>
      </c:layout>
      <c:overlay val="0"/>
      <c:spPr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5"/>
          <c:order val="0"/>
          <c:tx>
            <c:strRef>
              <c:f>'ورقه عمل'!$G$52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solidFill>
                <a:schemeClr val="tx2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lang="ar-IQ" sz="1200" b="1"/>
                </a:pPr>
                <a:endParaRPr lang="ar-SA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عمل'!$A$72:$A$94</c:f>
              <c:strCache>
                <c:ptCount val="23"/>
                <c:pt idx="0">
                  <c:v>وزارة النفط</c:v>
                </c:pt>
                <c:pt idx="1">
                  <c:v>وزارة الخارجية</c:v>
                </c:pt>
                <c:pt idx="2">
                  <c:v>وزارة المهجرين والمهاجرين</c:v>
                </c:pt>
                <c:pt idx="3">
                  <c:v>وزارةالعمل والشوؤن الاجتماعية</c:v>
                </c:pt>
                <c:pt idx="4">
                  <c:v>وزارة الكهرباء</c:v>
                </c:pt>
                <c:pt idx="5">
                  <c:v>وزارة الصحة والبيئة</c:v>
                </c:pt>
                <c:pt idx="6">
                  <c:v>وزارة الاتصالات</c:v>
                </c:pt>
                <c:pt idx="7">
                  <c:v>وزارة التجارة</c:v>
                </c:pt>
                <c:pt idx="8">
                  <c:v>وزارة البلديات والاشغال</c:v>
                </c:pt>
                <c:pt idx="9">
                  <c:v>وزارة العلوم والتكنولوجيا</c:v>
                </c:pt>
                <c:pt idx="10">
                  <c:v>وزارة البيئة</c:v>
                </c:pt>
                <c:pt idx="11">
                  <c:v>وزارة حقوق الانسان</c:v>
                </c:pt>
                <c:pt idx="12">
                  <c:v>وزارة السياحة والأثار</c:v>
                </c:pt>
                <c:pt idx="13">
                  <c:v>محافظة بغداد</c:v>
                </c:pt>
                <c:pt idx="14">
                  <c:v>محافظة ذي قار</c:v>
                </c:pt>
                <c:pt idx="15">
                  <c:v>محافظة ديالى</c:v>
                </c:pt>
                <c:pt idx="16">
                  <c:v>محافظة بابل</c:v>
                </c:pt>
                <c:pt idx="17">
                  <c:v>محافظة ميسان</c:v>
                </c:pt>
                <c:pt idx="18">
                  <c:v> محافظة واسط</c:v>
                </c:pt>
                <c:pt idx="19">
                  <c:v>محافظة النجف الاشرف</c:v>
                </c:pt>
                <c:pt idx="20">
                  <c:v>محافظة الديوانية</c:v>
                </c:pt>
                <c:pt idx="21">
                  <c:v>محافظة المثنى</c:v>
                </c:pt>
                <c:pt idx="22">
                  <c:v>محافظة كربلاء</c:v>
                </c:pt>
              </c:strCache>
            </c:strRef>
          </c:cat>
          <c:val>
            <c:numRef>
              <c:f>'ورقه عمل'!$G$72:$G$94</c:f>
              <c:numCache>
                <c:formatCode>0%</c:formatCode>
                <c:ptCount val="23"/>
                <c:pt idx="0">
                  <c:v>0.59998343731096382</c:v>
                </c:pt>
                <c:pt idx="1">
                  <c:v>0.59970367507688394</c:v>
                </c:pt>
                <c:pt idx="2">
                  <c:v>0.52888411914184996</c:v>
                </c:pt>
                <c:pt idx="3">
                  <c:v>0.51313383523577794</c:v>
                </c:pt>
                <c:pt idx="4">
                  <c:v>0.44772008307336197</c:v>
                </c:pt>
                <c:pt idx="5">
                  <c:v>0.3667641428146875</c:v>
                </c:pt>
                <c:pt idx="6">
                  <c:v>0.10963773050285361</c:v>
                </c:pt>
                <c:pt idx="7">
                  <c:v>0.1051100550181412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0863232"/>
        <c:axId val="170897792"/>
        <c:axId val="0"/>
      </c:bar3DChart>
      <c:catAx>
        <c:axId val="170863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ar-SA"/>
          </a:p>
        </c:txPr>
        <c:crossAx val="170897792"/>
        <c:crosses val="autoZero"/>
        <c:auto val="1"/>
        <c:lblAlgn val="ctr"/>
        <c:lblOffset val="100"/>
        <c:noMultiLvlLbl val="0"/>
      </c:catAx>
      <c:valAx>
        <c:axId val="1708977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ar-SA"/>
          </a:p>
        </c:txPr>
        <c:crossAx val="1708632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9202C8529F4FB773F26894CE7BF4" ma:contentTypeVersion="1" ma:contentTypeDescription="Create a new document." ma:contentTypeScope="" ma:versionID="9fee187d75163c87eb29a6891418c434">
  <xsd:schema xmlns:xsd="http://www.w3.org/2001/XMLSchema" xmlns:xs="http://www.w3.org/2001/XMLSchema" xmlns:p="http://schemas.microsoft.com/office/2006/metadata/properties" xmlns:ns2="536e90f3-28f6-43a2-9886-69104c66b47c" targetNamespace="http://schemas.microsoft.com/office/2006/metadata/properties" ma:root="true" ma:fieldsID="c35a9c70863703df635a0776bfb135b7" ns2:_="">
    <xsd:import namespace="536e90f3-28f6-43a2-9886-69104c66b4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e90f3-28f6-43a2-9886-69104c66b4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6e90f3-28f6-43a2-9886-69104c66b47c">VMCDCHTSR4DK-1850682920-340</_dlc_DocId>
    <_dlc_DocIdUrl xmlns="536e90f3-28f6-43a2-9886-69104c66b47c">
      <Url>http://cms-mof/_layouts/DocIdRedir.aspx?ID=VMCDCHTSR4DK-1850682920-340</Url>
      <Description>VMCDCHTSR4DK-1850682920-340</Description>
    </_dlc_DocIdUrl>
  </documentManagement>
</p:properties>
</file>

<file path=customXml/itemProps1.xml><?xml version="1.0" encoding="utf-8"?>
<ds:datastoreItem xmlns:ds="http://schemas.openxmlformats.org/officeDocument/2006/customXml" ds:itemID="{876A68CC-6458-48B3-A2BB-2D65B832806D}"/>
</file>

<file path=customXml/itemProps2.xml><?xml version="1.0" encoding="utf-8"?>
<ds:datastoreItem xmlns:ds="http://schemas.openxmlformats.org/officeDocument/2006/customXml" ds:itemID="{357A2BBB-772E-4824-B8D9-940181ADC0E3}"/>
</file>

<file path=customXml/itemProps3.xml><?xml version="1.0" encoding="utf-8"?>
<ds:datastoreItem xmlns:ds="http://schemas.openxmlformats.org/officeDocument/2006/customXml" ds:itemID="{64D573AA-E88F-43C7-AAE7-A5FE9081FDB1}"/>
</file>

<file path=customXml/itemProps4.xml><?xml version="1.0" encoding="utf-8"?>
<ds:datastoreItem xmlns:ds="http://schemas.openxmlformats.org/officeDocument/2006/customXml" ds:itemID="{17E26886-F460-4D1C-B093-6A47800097FA}"/>
</file>

<file path=customXml/itemProps5.xml><?xml version="1.0" encoding="utf-8"?>
<ds:datastoreItem xmlns:ds="http://schemas.openxmlformats.org/officeDocument/2006/customXml" ds:itemID="{06CB646B-027C-4D72-B53A-CF0CAF11BF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</Pages>
  <Words>660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تنفيذ الموازنة لغاية كانون الأول 2016</dc:title>
  <dc:subject/>
  <dc:creator>MOF</dc:creator>
  <cp:keywords/>
  <dc:description/>
  <cp:lastModifiedBy>DR.Ahmed Saker 2o1O</cp:lastModifiedBy>
  <cp:revision>65</cp:revision>
  <dcterms:created xsi:type="dcterms:W3CDTF">2016-07-31T10:16:00Z</dcterms:created>
  <dcterms:modified xsi:type="dcterms:W3CDTF">2017-03-07T09:53:00Z</dcterms:modified>
  <cp:contentStatus>نهائي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0x010100970E9202C8529F4FB773F26894CE7BF4</vt:lpwstr>
  </property>
  <property fmtid="{D5CDD505-2E9C-101B-9397-08002B2CF9AE}" pid="3" name="_dlc_DocIdItemGuid">
    <vt:lpwstr>30bc3a57-58be-4ed4-a8e4-11034a25c817</vt:lpwstr>
  </property>
</Properties>
</file>