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55" w:rsidRDefault="009B19C4" w:rsidP="00FE2AAD">
      <w:pPr>
        <w:jc w:val="both"/>
      </w:pPr>
      <w:r>
        <w:rPr>
          <w:noProof/>
          <w:color w:val="548DD4" w:themeColor="text2" w:themeTint="99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39.05pt;margin-top:-1.9pt;width:78.7pt;height:28.4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المقدمة"/>
          </v:shape>
        </w:pict>
      </w:r>
      <w:r w:rsidR="00AB6805">
        <w:t xml:space="preserve">   </w:t>
      </w:r>
    </w:p>
    <w:p w:rsidR="00AB6805" w:rsidRDefault="00AB6805" w:rsidP="00FE2AAD">
      <w:pPr>
        <w:jc w:val="both"/>
      </w:pPr>
    </w:p>
    <w:p w:rsidR="00AB6805" w:rsidRPr="003F0850" w:rsidRDefault="004F24C8" w:rsidP="00FE2AAD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يسر وزارتي</w:t>
      </w:r>
      <w:r w:rsidR="00AB6805" w:rsidRPr="003F0850">
        <w:rPr>
          <w:rFonts w:hint="cs"/>
          <w:b/>
          <w:bCs/>
          <w:sz w:val="28"/>
          <w:szCs w:val="28"/>
          <w:rtl/>
          <w:lang w:bidi="ar-IQ"/>
        </w:rPr>
        <w:t xml:space="preserve"> المالية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والتخطيط الاتحاديتين</w:t>
      </w:r>
      <w:r w:rsidR="00AB6805" w:rsidRPr="003F085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>أن</w:t>
      </w:r>
      <w:r w:rsidR="00AB6805" w:rsidRPr="003F0850">
        <w:rPr>
          <w:rFonts w:hint="cs"/>
          <w:b/>
          <w:bCs/>
          <w:sz w:val="28"/>
          <w:szCs w:val="28"/>
          <w:rtl/>
          <w:lang w:bidi="ar-IQ"/>
        </w:rPr>
        <w:t xml:space="preserve"> ترسل تعليمات تنفيذ الموازنه الات</w:t>
      </w:r>
      <w:r w:rsidR="006004B6">
        <w:rPr>
          <w:rFonts w:hint="cs"/>
          <w:b/>
          <w:bCs/>
          <w:sz w:val="28"/>
          <w:szCs w:val="28"/>
          <w:rtl/>
          <w:lang w:bidi="ar-IQ"/>
        </w:rPr>
        <w:t>حاديه لجمهورية العراق لعام /</w:t>
      </w:r>
      <w:r w:rsidR="00FE2AAD">
        <w:rPr>
          <w:rFonts w:hint="cs"/>
          <w:b/>
          <w:bCs/>
          <w:sz w:val="28"/>
          <w:szCs w:val="28"/>
          <w:rtl/>
          <w:lang w:bidi="ar-IQ"/>
        </w:rPr>
        <w:t>2019</w:t>
      </w:r>
      <w:r w:rsidR="00AB6805" w:rsidRPr="003F0850">
        <w:rPr>
          <w:rFonts w:hint="cs"/>
          <w:b/>
          <w:bCs/>
          <w:sz w:val="28"/>
          <w:szCs w:val="28"/>
          <w:rtl/>
          <w:lang w:bidi="ar-IQ"/>
        </w:rPr>
        <w:t xml:space="preserve"> بعد 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>أن</w:t>
      </w:r>
      <w:r w:rsidR="00AB6805" w:rsidRPr="003F0850">
        <w:rPr>
          <w:rFonts w:hint="cs"/>
          <w:b/>
          <w:bCs/>
          <w:sz w:val="28"/>
          <w:szCs w:val="28"/>
          <w:rtl/>
          <w:lang w:bidi="ar-IQ"/>
        </w:rPr>
        <w:t xml:space="preserve"> وضعت في 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>الإطار</w:t>
      </w:r>
      <w:r w:rsidR="00AB6805" w:rsidRPr="003F0850">
        <w:rPr>
          <w:rFonts w:hint="cs"/>
          <w:b/>
          <w:bCs/>
          <w:sz w:val="28"/>
          <w:szCs w:val="28"/>
          <w:rtl/>
          <w:lang w:bidi="ar-IQ"/>
        </w:rPr>
        <w:t xml:space="preserve"> العام للاستراتيجيه التي تتطلبها المرحله الراهنه مؤكدين على الاستفاده القصوى من التخصيصات المالية المعتمده في الموازنه لتوظيف الطاقات من اجل مواصلة البناء الحضاري المتطور للمجتمع العراقي .</w:t>
      </w:r>
    </w:p>
    <w:p w:rsidR="00AB6805" w:rsidRPr="003F0850" w:rsidRDefault="00AB6805" w:rsidP="00FE2AAD">
      <w:pPr>
        <w:pStyle w:val="ListParagraph"/>
        <w:numPr>
          <w:ilvl w:val="0"/>
          <w:numId w:val="1"/>
        </w:numPr>
        <w:ind w:left="26" w:firstLine="0"/>
        <w:jc w:val="both"/>
        <w:rPr>
          <w:b/>
          <w:bCs/>
          <w:sz w:val="28"/>
          <w:szCs w:val="28"/>
          <w:lang w:bidi="ar-IQ"/>
        </w:rPr>
      </w:pPr>
      <w:r w:rsidRPr="003F0850">
        <w:rPr>
          <w:rFonts w:hint="cs"/>
          <w:b/>
          <w:bCs/>
          <w:sz w:val="28"/>
          <w:szCs w:val="28"/>
          <w:rtl/>
          <w:lang w:bidi="ar-IQ"/>
        </w:rPr>
        <w:t xml:space="preserve">تضمنت التعليمات المعدة وفقاً </w:t>
      </w:r>
      <w:r w:rsidR="004F24C8" w:rsidRPr="003F0850">
        <w:rPr>
          <w:rFonts w:hint="cs"/>
          <w:b/>
          <w:bCs/>
          <w:sz w:val="28"/>
          <w:szCs w:val="28"/>
          <w:rtl/>
          <w:lang w:bidi="ar-IQ"/>
        </w:rPr>
        <w:t>لأحكام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 xml:space="preserve"> قانون </w:t>
      </w:r>
      <w:r w:rsidR="004F24C8">
        <w:rPr>
          <w:rFonts w:hint="cs"/>
          <w:b/>
          <w:bCs/>
          <w:sz w:val="28"/>
          <w:szCs w:val="28"/>
          <w:rtl/>
          <w:lang w:bidi="ar-IQ"/>
        </w:rPr>
        <w:t>الموازنة</w:t>
      </w:r>
      <w:r w:rsidR="00BA345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F24C8">
        <w:rPr>
          <w:rFonts w:hint="cs"/>
          <w:b/>
          <w:bCs/>
          <w:sz w:val="28"/>
          <w:szCs w:val="28"/>
          <w:rtl/>
          <w:lang w:bidi="ar-IQ"/>
        </w:rPr>
        <w:t>العامة</w:t>
      </w:r>
      <w:r w:rsidR="00BA345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F24C8">
        <w:rPr>
          <w:rFonts w:hint="cs"/>
          <w:b/>
          <w:bCs/>
          <w:sz w:val="28"/>
          <w:szCs w:val="28"/>
          <w:rtl/>
          <w:lang w:bidi="ar-IQ"/>
        </w:rPr>
        <w:t>الاتحادية</w:t>
      </w:r>
      <w:r w:rsidR="00BA345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A3453" w:rsidRPr="00975F9B">
        <w:rPr>
          <w:rFonts w:hint="cs"/>
          <w:b/>
          <w:bCs/>
          <w:sz w:val="28"/>
          <w:szCs w:val="28"/>
          <w:rtl/>
          <w:lang w:bidi="ar-IQ"/>
        </w:rPr>
        <w:t>رقم (</w:t>
      </w:r>
      <w:r w:rsidR="00FE2AAD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F56878">
        <w:rPr>
          <w:rFonts w:hint="cs"/>
          <w:b/>
          <w:bCs/>
          <w:sz w:val="28"/>
          <w:szCs w:val="28"/>
          <w:rtl/>
          <w:lang w:bidi="ar-IQ"/>
        </w:rPr>
        <w:t>1</w:t>
      </w:r>
      <w:r w:rsidR="00FE2AAD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975F9B">
        <w:rPr>
          <w:rFonts w:hint="cs"/>
          <w:b/>
          <w:bCs/>
          <w:sz w:val="28"/>
          <w:szCs w:val="28"/>
          <w:rtl/>
          <w:lang w:bidi="ar-IQ"/>
        </w:rPr>
        <w:t>)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 xml:space="preserve">      لسنة /</w:t>
      </w:r>
      <w:r w:rsidR="00FE2AAD">
        <w:rPr>
          <w:rFonts w:hint="cs"/>
          <w:b/>
          <w:bCs/>
          <w:sz w:val="28"/>
          <w:szCs w:val="28"/>
          <w:rtl/>
          <w:lang w:bidi="ar-IQ"/>
        </w:rPr>
        <w:t>2019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 xml:space="preserve">  مايلي :-  </w:t>
      </w:r>
    </w:p>
    <w:p w:rsidR="00AB6805" w:rsidRPr="003F0850" w:rsidRDefault="00AB6805" w:rsidP="00FE2AAD">
      <w:pPr>
        <w:ind w:left="26" w:right="-450"/>
        <w:jc w:val="both"/>
        <w:rPr>
          <w:b/>
          <w:bCs/>
          <w:sz w:val="28"/>
          <w:szCs w:val="28"/>
          <w:rtl/>
          <w:lang w:bidi="ar-IQ"/>
        </w:rPr>
      </w:pPr>
      <w:r w:rsidRPr="005E332D">
        <w:rPr>
          <w:rFonts w:hint="cs"/>
          <w:b/>
          <w:bCs/>
          <w:color w:val="548DD4" w:themeColor="text2" w:themeTint="99"/>
          <w:sz w:val="36"/>
          <w:szCs w:val="36"/>
          <w:rtl/>
          <w:lang w:bidi="ar-IQ"/>
        </w:rPr>
        <w:t>القسم الاول //</w:t>
      </w:r>
      <w:r w:rsidRPr="003F0850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 xml:space="preserve">الضوابط اللازمه لتنسيق صلاحية الوزارات والدوائر غير المرتبطه بوزارة والمحافظات ومجالسها ومكاتب المفتشين العموميين في استخدام التخصيصات المعتمده في الموازنة . </w:t>
      </w:r>
    </w:p>
    <w:p w:rsidR="00AB6805" w:rsidRPr="003F0850" w:rsidRDefault="00AB6805" w:rsidP="00FE2AAD">
      <w:pPr>
        <w:ind w:left="26" w:right="-450"/>
        <w:jc w:val="both"/>
        <w:rPr>
          <w:b/>
          <w:bCs/>
          <w:sz w:val="28"/>
          <w:szCs w:val="28"/>
          <w:rtl/>
          <w:lang w:bidi="ar-IQ"/>
        </w:rPr>
      </w:pPr>
      <w:r w:rsidRPr="005E332D">
        <w:rPr>
          <w:rFonts w:hint="cs"/>
          <w:b/>
          <w:bCs/>
          <w:color w:val="548DD4" w:themeColor="text2" w:themeTint="99"/>
          <w:sz w:val="36"/>
          <w:szCs w:val="36"/>
          <w:rtl/>
          <w:lang w:bidi="ar-IQ"/>
        </w:rPr>
        <w:t>القسم الثاني //</w:t>
      </w:r>
      <w:r w:rsidRPr="003F0850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>تعليمات تنف</w:t>
      </w:r>
      <w:r w:rsidR="00DD56EB">
        <w:rPr>
          <w:rFonts w:hint="cs"/>
          <w:b/>
          <w:bCs/>
          <w:sz w:val="28"/>
          <w:szCs w:val="28"/>
          <w:rtl/>
          <w:lang w:bidi="ar-IQ"/>
        </w:rPr>
        <w:t xml:space="preserve">يذ الموازنة </w:t>
      </w:r>
      <w:r w:rsidR="0082622C">
        <w:rPr>
          <w:rFonts w:hint="cs"/>
          <w:b/>
          <w:bCs/>
          <w:sz w:val="28"/>
          <w:szCs w:val="28"/>
          <w:rtl/>
          <w:lang w:bidi="ar-IQ"/>
        </w:rPr>
        <w:t>الاتحادية</w:t>
      </w:r>
      <w:r w:rsidR="00B12C51">
        <w:rPr>
          <w:rFonts w:hint="cs"/>
          <w:b/>
          <w:bCs/>
          <w:sz w:val="28"/>
          <w:szCs w:val="28"/>
          <w:rtl/>
          <w:lang w:bidi="ar-IQ"/>
        </w:rPr>
        <w:t xml:space="preserve"> لسنة / </w:t>
      </w:r>
      <w:r w:rsidR="00FE2AAD">
        <w:rPr>
          <w:rFonts w:hint="cs"/>
          <w:b/>
          <w:bCs/>
          <w:sz w:val="28"/>
          <w:szCs w:val="28"/>
          <w:rtl/>
          <w:lang w:bidi="ar-IQ"/>
        </w:rPr>
        <w:t>2019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 xml:space="preserve">  . </w:t>
      </w:r>
    </w:p>
    <w:p w:rsidR="00AB6805" w:rsidRPr="003F0850" w:rsidRDefault="00AB6805" w:rsidP="00FE2AAD">
      <w:pPr>
        <w:ind w:left="26" w:right="-450"/>
        <w:jc w:val="both"/>
        <w:rPr>
          <w:b/>
          <w:bCs/>
          <w:sz w:val="28"/>
          <w:szCs w:val="28"/>
          <w:rtl/>
          <w:lang w:bidi="ar-IQ"/>
        </w:rPr>
      </w:pPr>
      <w:r w:rsidRPr="005E332D">
        <w:rPr>
          <w:rFonts w:hint="cs"/>
          <w:b/>
          <w:bCs/>
          <w:color w:val="548DD4" w:themeColor="text2" w:themeTint="99"/>
          <w:sz w:val="36"/>
          <w:szCs w:val="36"/>
          <w:rtl/>
          <w:lang w:bidi="ar-IQ"/>
        </w:rPr>
        <w:t>القسم الثالث //</w:t>
      </w:r>
      <w:r w:rsidRPr="003F0850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>الملاكات .</w:t>
      </w:r>
    </w:p>
    <w:p w:rsidR="00AB6805" w:rsidRPr="003F0850" w:rsidRDefault="00AB6805" w:rsidP="00FE2AAD">
      <w:pPr>
        <w:ind w:left="26" w:right="-450"/>
        <w:jc w:val="both"/>
        <w:rPr>
          <w:b/>
          <w:bCs/>
          <w:sz w:val="28"/>
          <w:szCs w:val="28"/>
          <w:rtl/>
          <w:lang w:bidi="ar-IQ"/>
        </w:rPr>
      </w:pPr>
      <w:r w:rsidRPr="005E332D">
        <w:rPr>
          <w:rFonts w:hint="cs"/>
          <w:b/>
          <w:bCs/>
          <w:color w:val="548DD4" w:themeColor="text2" w:themeTint="99"/>
          <w:sz w:val="36"/>
          <w:szCs w:val="36"/>
          <w:rtl/>
          <w:lang w:bidi="ar-IQ"/>
        </w:rPr>
        <w:t>القسم الرابع //</w:t>
      </w:r>
      <w:r w:rsidRPr="003F0850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>تعليم</w:t>
      </w:r>
      <w:r w:rsidR="003F0850">
        <w:rPr>
          <w:rFonts w:hint="cs"/>
          <w:b/>
          <w:bCs/>
          <w:sz w:val="28"/>
          <w:szCs w:val="28"/>
          <w:rtl/>
          <w:lang w:bidi="ar-IQ"/>
        </w:rPr>
        <w:t>ـ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>ات وصلاحي</w:t>
      </w:r>
      <w:r w:rsidR="003F0850">
        <w:rPr>
          <w:rFonts w:hint="cs"/>
          <w:b/>
          <w:bCs/>
          <w:sz w:val="28"/>
          <w:szCs w:val="28"/>
          <w:rtl/>
          <w:lang w:bidi="ar-IQ"/>
        </w:rPr>
        <w:t>ـ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>ات تنفي</w:t>
      </w:r>
      <w:r w:rsidR="003F0850">
        <w:rPr>
          <w:rFonts w:hint="cs"/>
          <w:b/>
          <w:bCs/>
          <w:sz w:val="28"/>
          <w:szCs w:val="28"/>
          <w:rtl/>
          <w:lang w:bidi="ar-IQ"/>
        </w:rPr>
        <w:t>ـ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>ذ نفقات المش</w:t>
      </w:r>
      <w:r w:rsidR="003F0850">
        <w:rPr>
          <w:rFonts w:hint="cs"/>
          <w:b/>
          <w:bCs/>
          <w:sz w:val="28"/>
          <w:szCs w:val="28"/>
          <w:rtl/>
          <w:lang w:bidi="ar-IQ"/>
        </w:rPr>
        <w:t>ـ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>اريع الرأسم</w:t>
      </w:r>
      <w:r w:rsidR="003F0850">
        <w:rPr>
          <w:rFonts w:hint="cs"/>
          <w:b/>
          <w:bCs/>
          <w:sz w:val="28"/>
          <w:szCs w:val="28"/>
          <w:rtl/>
          <w:lang w:bidi="ar-IQ"/>
        </w:rPr>
        <w:t>ـ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>الي</w:t>
      </w:r>
      <w:r w:rsidR="003F0850">
        <w:rPr>
          <w:rFonts w:hint="cs"/>
          <w:b/>
          <w:bCs/>
          <w:sz w:val="28"/>
          <w:szCs w:val="28"/>
          <w:rtl/>
          <w:lang w:bidi="ar-IQ"/>
        </w:rPr>
        <w:t>ـ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>ه</w:t>
      </w:r>
      <w:r w:rsidR="003F085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>( الاستثماريه ) لسن</w:t>
      </w:r>
      <w:r w:rsidR="003F0850">
        <w:rPr>
          <w:rFonts w:hint="cs"/>
          <w:b/>
          <w:bCs/>
          <w:sz w:val="28"/>
          <w:szCs w:val="28"/>
          <w:rtl/>
          <w:lang w:bidi="ar-IQ"/>
        </w:rPr>
        <w:t>ـ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 xml:space="preserve">ة / </w:t>
      </w:r>
      <w:r w:rsidR="00FE2AAD">
        <w:rPr>
          <w:rFonts w:hint="cs"/>
          <w:b/>
          <w:bCs/>
          <w:sz w:val="28"/>
          <w:szCs w:val="28"/>
          <w:rtl/>
          <w:lang w:bidi="ar-IQ"/>
        </w:rPr>
        <w:t>2019</w:t>
      </w:r>
      <w:r w:rsidRPr="003F0850">
        <w:rPr>
          <w:rFonts w:hint="cs"/>
          <w:b/>
          <w:bCs/>
          <w:sz w:val="28"/>
          <w:szCs w:val="28"/>
          <w:rtl/>
          <w:lang w:bidi="ar-IQ"/>
        </w:rPr>
        <w:t xml:space="preserve">  .  </w:t>
      </w:r>
    </w:p>
    <w:p w:rsidR="00AB6805" w:rsidRPr="003F0850" w:rsidRDefault="004F24C8" w:rsidP="00FE2AAD">
      <w:pPr>
        <w:pStyle w:val="ListParagraph"/>
        <w:numPr>
          <w:ilvl w:val="0"/>
          <w:numId w:val="1"/>
        </w:numPr>
        <w:ind w:left="26" w:firstLine="0"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ترجو وزارتي المالية والتخطيط </w:t>
      </w:r>
      <w:r w:rsidR="0082622C">
        <w:rPr>
          <w:rFonts w:hint="cs"/>
          <w:b/>
          <w:bCs/>
          <w:sz w:val="28"/>
          <w:szCs w:val="28"/>
          <w:rtl/>
          <w:lang w:bidi="ar-IQ"/>
        </w:rPr>
        <w:t>الاتحاديتين</w:t>
      </w:r>
      <w:r w:rsidR="00AB6805" w:rsidRPr="003F0850">
        <w:rPr>
          <w:rFonts w:hint="cs"/>
          <w:b/>
          <w:bCs/>
          <w:sz w:val="28"/>
          <w:szCs w:val="28"/>
          <w:rtl/>
          <w:lang w:bidi="ar-IQ"/>
        </w:rPr>
        <w:t xml:space="preserve"> التقيد التام بما ورد في هذه التعليمات تحقيقاً للمصلحه العامه وتجنب التجاوز على المال العام وبالتالي التعرض للمحاسبه القانونيه لا سامح الله .</w:t>
      </w:r>
    </w:p>
    <w:p w:rsidR="00AB6805" w:rsidRPr="003F0850" w:rsidRDefault="003F0850" w:rsidP="00FE2AAD">
      <w:pPr>
        <w:jc w:val="both"/>
        <w:rPr>
          <w:b/>
          <w:bCs/>
          <w:sz w:val="28"/>
          <w:szCs w:val="28"/>
          <w:rtl/>
          <w:lang w:bidi="ar-IQ"/>
        </w:rPr>
      </w:pPr>
      <w:r w:rsidRPr="003F085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F24C8">
        <w:rPr>
          <w:rFonts w:hint="cs"/>
          <w:b/>
          <w:bCs/>
          <w:sz w:val="28"/>
          <w:szCs w:val="28"/>
          <w:rtl/>
          <w:lang w:bidi="ar-IQ"/>
        </w:rPr>
        <w:t xml:space="preserve">وأخيراً نتمنى </w:t>
      </w:r>
      <w:r w:rsidR="00AB6805" w:rsidRPr="003F0850">
        <w:rPr>
          <w:rFonts w:hint="cs"/>
          <w:b/>
          <w:bCs/>
          <w:sz w:val="28"/>
          <w:szCs w:val="28"/>
          <w:rtl/>
          <w:lang w:bidi="ar-IQ"/>
        </w:rPr>
        <w:t xml:space="preserve"> للجهات </w:t>
      </w:r>
      <w:r w:rsidR="004F24C8" w:rsidRPr="003F0850">
        <w:rPr>
          <w:rFonts w:hint="cs"/>
          <w:b/>
          <w:bCs/>
          <w:sz w:val="28"/>
          <w:szCs w:val="28"/>
          <w:rtl/>
          <w:lang w:bidi="ar-IQ"/>
        </w:rPr>
        <w:t>المعنية</w:t>
      </w:r>
      <w:r w:rsidR="00AB6805" w:rsidRPr="003F0850">
        <w:rPr>
          <w:rFonts w:hint="cs"/>
          <w:b/>
          <w:bCs/>
          <w:sz w:val="28"/>
          <w:szCs w:val="28"/>
          <w:rtl/>
          <w:lang w:bidi="ar-IQ"/>
        </w:rPr>
        <w:t xml:space="preserve"> المنفذه الم</w:t>
      </w:r>
      <w:r w:rsidR="0082622C">
        <w:rPr>
          <w:rFonts w:hint="cs"/>
          <w:b/>
          <w:bCs/>
          <w:sz w:val="28"/>
          <w:szCs w:val="28"/>
          <w:rtl/>
          <w:lang w:bidi="ar-IQ"/>
        </w:rPr>
        <w:t xml:space="preserve">وفقيه في عملها من اجل بناء عراق </w:t>
      </w:r>
      <w:r w:rsidR="00AB6805" w:rsidRPr="003F0850">
        <w:rPr>
          <w:rFonts w:hint="cs"/>
          <w:b/>
          <w:bCs/>
          <w:sz w:val="28"/>
          <w:szCs w:val="28"/>
          <w:rtl/>
          <w:lang w:bidi="ar-IQ"/>
        </w:rPr>
        <w:t>مزدهر مستقر امنياً واقتصادياً .</w:t>
      </w:r>
    </w:p>
    <w:p w:rsidR="003F0850" w:rsidRDefault="00FE2AAD" w:rsidP="00FE2AAD">
      <w:pPr>
        <w:jc w:val="both"/>
        <w:rPr>
          <w:b/>
          <w:bCs/>
          <w:color w:val="17365D" w:themeColor="text2" w:themeShade="BF"/>
          <w:sz w:val="36"/>
          <w:szCs w:val="36"/>
          <w:rtl/>
          <w:lang w:bidi="ar-IQ"/>
        </w:rPr>
      </w:pP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                </w:t>
      </w:r>
      <w:r w:rsidR="003F0850" w:rsidRPr="005E332D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>... ومن الله التوفيق</w:t>
      </w:r>
    </w:p>
    <w:p w:rsidR="00FE2AAD" w:rsidRDefault="00FE2AAD" w:rsidP="00FE2AAD">
      <w:pPr>
        <w:ind w:right="-851"/>
        <w:jc w:val="both"/>
        <w:rPr>
          <w:b/>
          <w:bCs/>
          <w:color w:val="17365D" w:themeColor="text2" w:themeShade="BF"/>
          <w:sz w:val="36"/>
          <w:szCs w:val="36"/>
          <w:rtl/>
          <w:lang w:bidi="ar-IQ"/>
        </w:rPr>
      </w:pPr>
    </w:p>
    <w:p w:rsidR="0007668C" w:rsidRDefault="00FE2AAD" w:rsidP="0038181E">
      <w:pPr>
        <w:ind w:left="-604" w:right="-851"/>
        <w:jc w:val="both"/>
        <w:rPr>
          <w:b/>
          <w:bCs/>
          <w:color w:val="17365D" w:themeColor="text2" w:themeShade="BF"/>
          <w:sz w:val="36"/>
          <w:szCs w:val="36"/>
          <w:rtl/>
          <w:lang w:bidi="ar-IQ"/>
        </w:rPr>
      </w:pP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>د0 نوري صباح حميد الدليمي</w:t>
      </w:r>
      <w:r w:rsidR="00DD56EB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</w:t>
      </w:r>
      <w:r w:rsidR="0038181E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     </w:t>
      </w:r>
      <w:r w:rsidR="00DD56EB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</w:t>
      </w:r>
      <w:r w:rsidR="00D76878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 </w:t>
      </w:r>
      <w:r w:rsidR="00D76878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فـــــؤاد</w:t>
      </w:r>
      <w:r w:rsidR="000D60B8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>حسين</w:t>
      </w:r>
      <w:r w:rsidR="000D60B8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            </w:t>
      </w:r>
      <w:r w:rsidR="00D76878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 </w:t>
      </w:r>
    </w:p>
    <w:p w:rsidR="00E32B15" w:rsidRPr="00681D8A" w:rsidRDefault="00D76878" w:rsidP="00E32B15">
      <w:pPr>
        <w:spacing w:after="0"/>
        <w:ind w:left="-720" w:right="180" w:firstLine="720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>وزي</w:t>
      </w:r>
      <w:r w:rsidR="00FE2AAD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>ـــــ</w:t>
      </w: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>ر</w:t>
      </w:r>
      <w:r w:rsidR="00E32B15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>التخطي</w:t>
      </w:r>
      <w:r w:rsidR="00FE2AAD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>ــــــ</w:t>
      </w: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ط      </w:t>
      </w:r>
      <w:r w:rsidR="00E32B15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</w:t>
      </w:r>
      <w:r w:rsidR="00E32B15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 نائب رئيس الوزراء للشؤون الاقتصادية </w:t>
      </w:r>
    </w:p>
    <w:p w:rsidR="00FE2AAD" w:rsidRDefault="00E32B15" w:rsidP="00E32B15">
      <w:pPr>
        <w:ind w:left="-694" w:right="-851"/>
        <w:jc w:val="both"/>
        <w:rPr>
          <w:b/>
          <w:bCs/>
          <w:color w:val="17365D" w:themeColor="text2" w:themeShade="BF"/>
          <w:sz w:val="36"/>
          <w:szCs w:val="36"/>
          <w:rtl/>
          <w:lang w:bidi="ar-IQ"/>
        </w:rPr>
      </w:pP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     /  / 2019                               </w:t>
      </w:r>
      <w:r w:rsidR="00FE2AAD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وزيـــــر المالـــــــــية                     </w:t>
      </w:r>
      <w:r w:rsidR="00D76878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</w:t>
      </w:r>
    </w:p>
    <w:p w:rsidR="008A786B" w:rsidRPr="009B19C4" w:rsidRDefault="00E32B15" w:rsidP="009B19C4">
      <w:pPr>
        <w:ind w:left="-694" w:right="-851"/>
        <w:jc w:val="both"/>
        <w:rPr>
          <w:b/>
          <w:bCs/>
          <w:color w:val="548DD4" w:themeColor="text2" w:themeTint="99"/>
          <w:sz w:val="36"/>
          <w:szCs w:val="36"/>
          <w:rtl/>
          <w:lang w:bidi="ar-IQ"/>
        </w:rPr>
      </w:pP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                          </w:t>
      </w:r>
      <w:r w:rsidR="00D76878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ab/>
      </w:r>
      <w:r w:rsidR="00D76878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ab/>
      </w:r>
      <w:r w:rsidR="00D76878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ab/>
      </w:r>
      <w:r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   </w:t>
      </w:r>
      <w:r w:rsidR="00D76878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ab/>
      </w:r>
      <w:r w:rsidR="00757A96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</w:t>
      </w:r>
      <w:r w:rsidR="00FE2AAD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 xml:space="preserve">    </w:t>
      </w:r>
      <w:r w:rsidR="00FE2AAD" w:rsidRPr="009B19C4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/ </w:t>
      </w:r>
      <w:r w:rsidR="00AA715F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AA715F" w:rsidRPr="00FE2AAD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/ </w:t>
      </w:r>
      <w:r w:rsidR="00FE2AAD">
        <w:rPr>
          <w:rFonts w:hint="cs"/>
          <w:b/>
          <w:bCs/>
          <w:color w:val="FF0000"/>
          <w:sz w:val="36"/>
          <w:szCs w:val="36"/>
          <w:rtl/>
          <w:lang w:bidi="ar-IQ"/>
        </w:rPr>
        <w:t>2019</w:t>
      </w:r>
      <w:r w:rsidR="008A786B" w:rsidRPr="009B19C4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ab/>
      </w:r>
      <w:r w:rsidR="008A786B" w:rsidRPr="009B19C4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ab/>
      </w:r>
      <w:r w:rsidR="008A786B" w:rsidRPr="009B19C4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ab/>
      </w:r>
      <w:r w:rsidR="008A786B" w:rsidRPr="009B19C4">
        <w:rPr>
          <w:rFonts w:hint="cs"/>
          <w:b/>
          <w:bCs/>
          <w:color w:val="17365D" w:themeColor="text2" w:themeShade="BF"/>
          <w:sz w:val="36"/>
          <w:szCs w:val="36"/>
          <w:rtl/>
          <w:lang w:bidi="ar-IQ"/>
        </w:rPr>
        <w:tab/>
      </w:r>
      <w:bookmarkStart w:id="0" w:name="_GoBack"/>
      <w:bookmarkEnd w:id="0"/>
    </w:p>
    <w:sectPr w:rsidR="008A786B" w:rsidRPr="009B19C4" w:rsidSect="00AB6805">
      <w:pgSz w:w="11906" w:h="16838"/>
      <w:pgMar w:top="1440" w:right="1800" w:bottom="1440" w:left="1800" w:header="708" w:footer="708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7197"/>
    <w:multiLevelType w:val="hybridMultilevel"/>
    <w:tmpl w:val="E7F2BC5A"/>
    <w:lvl w:ilvl="0" w:tplc="432C53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5586"/>
    <w:multiLevelType w:val="hybridMultilevel"/>
    <w:tmpl w:val="DFD4426C"/>
    <w:lvl w:ilvl="0" w:tplc="2244097A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2F5A4A4A"/>
    <w:multiLevelType w:val="hybridMultilevel"/>
    <w:tmpl w:val="51F6E196"/>
    <w:lvl w:ilvl="0" w:tplc="45089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E7E3D"/>
    <w:multiLevelType w:val="hybridMultilevel"/>
    <w:tmpl w:val="EC10C014"/>
    <w:lvl w:ilvl="0" w:tplc="E5ACBC9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530EF"/>
    <w:multiLevelType w:val="hybridMultilevel"/>
    <w:tmpl w:val="DFD4426C"/>
    <w:lvl w:ilvl="0" w:tplc="2244097A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7F193317"/>
    <w:multiLevelType w:val="hybridMultilevel"/>
    <w:tmpl w:val="8C18E590"/>
    <w:lvl w:ilvl="0" w:tplc="3AB6BB00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6805"/>
    <w:rsid w:val="00016388"/>
    <w:rsid w:val="00021C92"/>
    <w:rsid w:val="0006701E"/>
    <w:rsid w:val="000728BD"/>
    <w:rsid w:val="0007668C"/>
    <w:rsid w:val="000D60B8"/>
    <w:rsid w:val="0017335D"/>
    <w:rsid w:val="001B4157"/>
    <w:rsid w:val="002162AF"/>
    <w:rsid w:val="0027495A"/>
    <w:rsid w:val="00302BA9"/>
    <w:rsid w:val="0037534B"/>
    <w:rsid w:val="0038181E"/>
    <w:rsid w:val="003F0850"/>
    <w:rsid w:val="00412A2C"/>
    <w:rsid w:val="004B2108"/>
    <w:rsid w:val="004C445B"/>
    <w:rsid w:val="004C485A"/>
    <w:rsid w:val="004F24C8"/>
    <w:rsid w:val="004F3B11"/>
    <w:rsid w:val="004F4EE5"/>
    <w:rsid w:val="005216E4"/>
    <w:rsid w:val="00564A63"/>
    <w:rsid w:val="005D266C"/>
    <w:rsid w:val="005E332D"/>
    <w:rsid w:val="005E6E54"/>
    <w:rsid w:val="006004B6"/>
    <w:rsid w:val="006A6FAC"/>
    <w:rsid w:val="006E18E9"/>
    <w:rsid w:val="00703AD8"/>
    <w:rsid w:val="00713C98"/>
    <w:rsid w:val="0074754B"/>
    <w:rsid w:val="00750A55"/>
    <w:rsid w:val="00757A96"/>
    <w:rsid w:val="00760756"/>
    <w:rsid w:val="007E5E24"/>
    <w:rsid w:val="008240EF"/>
    <w:rsid w:val="0082622C"/>
    <w:rsid w:val="0085323E"/>
    <w:rsid w:val="00896041"/>
    <w:rsid w:val="008A786B"/>
    <w:rsid w:val="008C13D7"/>
    <w:rsid w:val="00931D75"/>
    <w:rsid w:val="00975F9B"/>
    <w:rsid w:val="0098528B"/>
    <w:rsid w:val="009B19C4"/>
    <w:rsid w:val="009B792A"/>
    <w:rsid w:val="009F080E"/>
    <w:rsid w:val="00A4084C"/>
    <w:rsid w:val="00A44632"/>
    <w:rsid w:val="00A4780C"/>
    <w:rsid w:val="00A65F30"/>
    <w:rsid w:val="00A7517F"/>
    <w:rsid w:val="00A85D55"/>
    <w:rsid w:val="00A925A9"/>
    <w:rsid w:val="00AA715F"/>
    <w:rsid w:val="00AB57AA"/>
    <w:rsid w:val="00AB6805"/>
    <w:rsid w:val="00B12C51"/>
    <w:rsid w:val="00B24FA1"/>
    <w:rsid w:val="00B4032E"/>
    <w:rsid w:val="00B642B9"/>
    <w:rsid w:val="00BA3453"/>
    <w:rsid w:val="00BF276A"/>
    <w:rsid w:val="00C6373B"/>
    <w:rsid w:val="00C8093F"/>
    <w:rsid w:val="00CE12FA"/>
    <w:rsid w:val="00D76878"/>
    <w:rsid w:val="00DD56EB"/>
    <w:rsid w:val="00E2367C"/>
    <w:rsid w:val="00E32B15"/>
    <w:rsid w:val="00EB3F4C"/>
    <w:rsid w:val="00F03F3E"/>
    <w:rsid w:val="00F11869"/>
    <w:rsid w:val="00F56878"/>
    <w:rsid w:val="00FC5AC5"/>
    <w:rsid w:val="00FD52BE"/>
    <w:rsid w:val="00F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55"/>
    <w:pPr>
      <w:bidi/>
    </w:pPr>
  </w:style>
  <w:style w:type="paragraph" w:styleId="Heading1">
    <w:name w:val="heading 1"/>
    <w:basedOn w:val="Normal"/>
    <w:next w:val="Normal"/>
    <w:link w:val="Heading1Char"/>
    <w:qFormat/>
    <w:rsid w:val="00C6373B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Times New Roman"/>
      <w:b/>
      <w:b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8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6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6373B"/>
    <w:rPr>
      <w:rFonts w:ascii="Times New Roman" w:eastAsia="Times New Roman" w:hAnsi="Times New Roman" w:cs="Times New Roman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F631CF5D5419E4B9237F3D41A6D22D9" ma:contentTypeVersion="1" ma:contentTypeDescription="إنشاء مستند جديد." ma:contentTypeScope="" ma:versionID="f66745d8a5f806ed170009c6ee3f41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0644a7e13efc998d0e8f4d0158f5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349ACF-0FC7-4BA9-97AB-DD806C3CC551}"/>
</file>

<file path=customXml/itemProps2.xml><?xml version="1.0" encoding="utf-8"?>
<ds:datastoreItem xmlns:ds="http://schemas.openxmlformats.org/officeDocument/2006/customXml" ds:itemID="{69743720-F09B-4473-82A4-165F3D2BEB58}"/>
</file>

<file path=customXml/itemProps3.xml><?xml version="1.0" encoding="utf-8"?>
<ds:datastoreItem xmlns:ds="http://schemas.openxmlformats.org/officeDocument/2006/customXml" ds:itemID="{BE9DF7A4-9BAE-44F9-A0EC-516CD9445030}"/>
</file>

<file path=customXml/itemProps4.xml><?xml version="1.0" encoding="utf-8"?>
<ds:datastoreItem xmlns:ds="http://schemas.openxmlformats.org/officeDocument/2006/customXml" ds:itemID="{6999F2C0-D88F-4EF9-AF14-0DF309A028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DR.Ahmed Saker</cp:lastModifiedBy>
  <cp:revision>50</cp:revision>
  <cp:lastPrinted>2010-03-11T02:05:00Z</cp:lastPrinted>
  <dcterms:created xsi:type="dcterms:W3CDTF">2012-01-31T07:54:00Z</dcterms:created>
  <dcterms:modified xsi:type="dcterms:W3CDTF">2019-02-07T10:43:00Z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0x0101006F631CF5D5419E4B9237F3D41A6D22D9</vt:lpwstr>
  </property>
</Properties>
</file>